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227C" w14:textId="50080A8E" w:rsidR="00DB2102" w:rsidRPr="004561A3" w:rsidRDefault="002D4214" w:rsidP="004561A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Abstract Title:</w:t>
      </w:r>
      <w:r w:rsidR="004561A3">
        <w:rPr>
          <w:rFonts w:ascii="Arial" w:hAnsi="Arial" w:cs="Arial"/>
          <w:i/>
          <w:iCs/>
          <w:sz w:val="22"/>
          <w:szCs w:val="22"/>
        </w:rPr>
        <w:t xml:space="preserve"> </w:t>
      </w:r>
      <w:r w:rsidR="00821536">
        <w:rPr>
          <w:rFonts w:ascii="Arial" w:hAnsi="Arial" w:cs="Arial"/>
          <w:color w:val="000000"/>
          <w:sz w:val="22"/>
          <w:szCs w:val="22"/>
        </w:rPr>
        <w:t>Predicting</w:t>
      </w:r>
      <w:r w:rsidR="00DB2102" w:rsidRPr="00481679">
        <w:rPr>
          <w:rFonts w:ascii="Arial" w:hAnsi="Arial" w:cs="Arial"/>
          <w:color w:val="000000"/>
          <w:sz w:val="22"/>
          <w:szCs w:val="22"/>
        </w:rPr>
        <w:t xml:space="preserve"> Post-Operative Dysglycaemia</w:t>
      </w:r>
      <w:r w:rsidR="00B704FC">
        <w:rPr>
          <w:rFonts w:ascii="Arial" w:hAnsi="Arial" w:cs="Arial"/>
          <w:color w:val="000000"/>
          <w:sz w:val="22"/>
          <w:szCs w:val="22"/>
        </w:rPr>
        <w:t xml:space="preserve"> with Machine Learning Models</w:t>
      </w:r>
      <w:r w:rsidR="00DB2102" w:rsidRPr="00481679">
        <w:rPr>
          <w:rFonts w:ascii="Arial" w:hAnsi="Arial" w:cs="Arial"/>
          <w:color w:val="000000"/>
          <w:sz w:val="22"/>
          <w:szCs w:val="22"/>
        </w:rPr>
        <w:t xml:space="preserve"> in </w:t>
      </w:r>
      <w:r w:rsidR="00B704FC">
        <w:rPr>
          <w:rFonts w:ascii="Arial" w:hAnsi="Arial" w:cs="Arial"/>
          <w:color w:val="000000"/>
          <w:sz w:val="22"/>
          <w:szCs w:val="22"/>
        </w:rPr>
        <w:t xml:space="preserve">an </w:t>
      </w:r>
      <w:r w:rsidR="004243A3">
        <w:rPr>
          <w:rFonts w:ascii="Arial" w:hAnsi="Arial" w:cs="Arial"/>
          <w:color w:val="000000"/>
          <w:sz w:val="22"/>
          <w:szCs w:val="22"/>
        </w:rPr>
        <w:t xml:space="preserve">Australian </w:t>
      </w:r>
      <w:r w:rsidR="00DB2102" w:rsidRPr="00481679">
        <w:rPr>
          <w:rFonts w:ascii="Arial" w:hAnsi="Arial" w:cs="Arial"/>
          <w:color w:val="000000"/>
          <w:sz w:val="22"/>
          <w:szCs w:val="22"/>
        </w:rPr>
        <w:t>Adult Surgical Inpatient</w:t>
      </w:r>
      <w:r w:rsidR="004243A3">
        <w:rPr>
          <w:rFonts w:ascii="Arial" w:hAnsi="Arial" w:cs="Arial"/>
          <w:color w:val="000000"/>
          <w:sz w:val="22"/>
          <w:szCs w:val="22"/>
        </w:rPr>
        <w:t xml:space="preserve"> Context</w:t>
      </w:r>
      <w:r w:rsidR="00E34ED3">
        <w:rPr>
          <w:rFonts w:ascii="Arial" w:hAnsi="Arial" w:cs="Arial"/>
          <w:color w:val="000000"/>
          <w:sz w:val="22"/>
          <w:szCs w:val="22"/>
        </w:rPr>
        <w:t xml:space="preserve">: </w:t>
      </w:r>
      <w:r w:rsidR="008B2082">
        <w:rPr>
          <w:rFonts w:ascii="Arial" w:hAnsi="Arial" w:cs="Arial"/>
          <w:color w:val="000000"/>
          <w:sz w:val="22"/>
          <w:szCs w:val="22"/>
        </w:rPr>
        <w:t>I</w:t>
      </w:r>
      <w:r w:rsidR="002334C9">
        <w:rPr>
          <w:rFonts w:ascii="Arial" w:hAnsi="Arial" w:cs="Arial"/>
          <w:color w:val="000000"/>
          <w:sz w:val="22"/>
          <w:szCs w:val="22"/>
        </w:rPr>
        <w:t>nvestigating the</w:t>
      </w:r>
      <w:r w:rsidR="00777C21">
        <w:rPr>
          <w:rFonts w:ascii="Arial" w:hAnsi="Arial" w:cs="Arial"/>
          <w:color w:val="000000"/>
          <w:sz w:val="22"/>
          <w:szCs w:val="22"/>
        </w:rPr>
        <w:t xml:space="preserve"> </w:t>
      </w:r>
      <w:r w:rsidR="00DB2102" w:rsidRPr="00481679">
        <w:rPr>
          <w:rFonts w:ascii="Arial" w:hAnsi="Arial" w:cs="Arial"/>
          <w:color w:val="000000"/>
          <w:sz w:val="22"/>
          <w:szCs w:val="22"/>
        </w:rPr>
        <w:t>STOIC-D Surgery Cohort</w:t>
      </w:r>
    </w:p>
    <w:p w14:paraId="3952E2A0" w14:textId="77777777" w:rsidR="00DB2102" w:rsidRPr="00481679" w:rsidRDefault="00DB2102" w:rsidP="002D4214">
      <w:pPr>
        <w:rPr>
          <w:rFonts w:ascii="Arial" w:hAnsi="Arial" w:cs="Arial"/>
          <w:b/>
          <w:bCs/>
          <w:sz w:val="22"/>
          <w:szCs w:val="22"/>
        </w:rPr>
      </w:pPr>
    </w:p>
    <w:p w14:paraId="3B95A555" w14:textId="77777777" w:rsidR="001108DD" w:rsidRPr="00481679" w:rsidRDefault="001108DD" w:rsidP="002D421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1B1C1125" w14:textId="345833E3" w:rsidR="001108DD" w:rsidRPr="00481679" w:rsidRDefault="001108DD" w:rsidP="002D4214">
      <w:pPr>
        <w:rPr>
          <w:rFonts w:ascii="Arial" w:hAnsi="Arial" w:cs="Arial"/>
          <w:b/>
          <w:bCs/>
          <w:sz w:val="22"/>
          <w:szCs w:val="22"/>
        </w:rPr>
      </w:pPr>
      <w:r w:rsidRPr="00481679">
        <w:rPr>
          <w:rFonts w:ascii="Arial" w:hAnsi="Arial" w:cs="Arial"/>
          <w:b/>
          <w:bCs/>
          <w:sz w:val="22"/>
          <w:szCs w:val="22"/>
        </w:rPr>
        <w:t>Aim</w:t>
      </w:r>
    </w:p>
    <w:p w14:paraId="5FCB51EB" w14:textId="77777777" w:rsidR="001108DD" w:rsidRPr="00481679" w:rsidRDefault="001108DD" w:rsidP="002D4214">
      <w:pPr>
        <w:rPr>
          <w:rFonts w:ascii="Arial" w:hAnsi="Arial" w:cs="Arial"/>
          <w:b/>
          <w:bCs/>
          <w:sz w:val="22"/>
          <w:szCs w:val="22"/>
        </w:rPr>
      </w:pPr>
    </w:p>
    <w:p w14:paraId="0A183888" w14:textId="583FC742" w:rsidR="001108DD" w:rsidRPr="00481679" w:rsidRDefault="001108DD" w:rsidP="002D421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81679">
        <w:rPr>
          <w:rFonts w:ascii="Arial" w:hAnsi="Arial" w:cs="Arial"/>
          <w:color w:val="000000"/>
          <w:sz w:val="22"/>
          <w:szCs w:val="22"/>
        </w:rPr>
        <w:t>Dysglycaemia has been well-established to negatively impact surgical inpatients’ outcomes. Proactive management of glycaemia improves post-operative outcomes. This study aimed to explore the risk factors associated with dysglycaemia and other adverse outcomes, among surgical inpatients with diabetes or newly diagnosed hyperglycaemia</w:t>
      </w:r>
      <w:r w:rsidR="00924133">
        <w:rPr>
          <w:rFonts w:ascii="Arial" w:hAnsi="Arial" w:cs="Arial"/>
          <w:color w:val="000000"/>
          <w:sz w:val="22"/>
          <w:szCs w:val="22"/>
        </w:rPr>
        <w:t xml:space="preserve">. </w:t>
      </w:r>
      <w:r w:rsidR="005F603B">
        <w:rPr>
          <w:rFonts w:ascii="Arial" w:hAnsi="Arial" w:cs="Arial"/>
          <w:color w:val="000000"/>
          <w:sz w:val="22"/>
          <w:szCs w:val="22"/>
        </w:rPr>
        <w:t>M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achine learning models were </w:t>
      </w:r>
      <w:r w:rsidR="005F603B">
        <w:rPr>
          <w:rFonts w:ascii="Arial" w:hAnsi="Arial" w:cs="Arial"/>
          <w:color w:val="000000"/>
          <w:sz w:val="22"/>
          <w:szCs w:val="22"/>
        </w:rPr>
        <w:t xml:space="preserve">employed </w:t>
      </w:r>
      <w:r w:rsidRPr="00481679">
        <w:rPr>
          <w:rFonts w:ascii="Arial" w:hAnsi="Arial" w:cs="Arial"/>
          <w:color w:val="000000"/>
          <w:sz w:val="22"/>
          <w:szCs w:val="22"/>
        </w:rPr>
        <w:t>to quantify the association between these risks and outcomes to inform risk calculation for clinical management decisions.</w:t>
      </w:r>
    </w:p>
    <w:p w14:paraId="55B0D0E1" w14:textId="77777777" w:rsidR="00DF49D3" w:rsidRPr="00481679" w:rsidRDefault="00DF49D3" w:rsidP="002D421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21D8CB5" w14:textId="5B8438BE" w:rsidR="00DF49D3" w:rsidRPr="00481679" w:rsidRDefault="00DF49D3" w:rsidP="002D421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81679">
        <w:rPr>
          <w:rFonts w:ascii="Arial" w:hAnsi="Arial" w:cs="Arial"/>
          <w:b/>
          <w:bCs/>
          <w:color w:val="000000"/>
          <w:sz w:val="22"/>
          <w:szCs w:val="22"/>
        </w:rPr>
        <w:t>Method</w:t>
      </w:r>
      <w:r w:rsidR="001E6952">
        <w:rPr>
          <w:rFonts w:ascii="Arial" w:hAnsi="Arial" w:cs="Arial"/>
          <w:b/>
          <w:bCs/>
          <w:color w:val="000000"/>
          <w:sz w:val="22"/>
          <w:szCs w:val="22"/>
        </w:rPr>
        <w:t>s</w:t>
      </w:r>
    </w:p>
    <w:p w14:paraId="79BCF293" w14:textId="77777777" w:rsidR="00DF49D3" w:rsidRPr="00481679" w:rsidRDefault="00DF49D3" w:rsidP="002D421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164745C" w14:textId="77777777" w:rsidR="00DF49D3" w:rsidRPr="00481679" w:rsidRDefault="00DF49D3" w:rsidP="002D421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81679">
        <w:rPr>
          <w:rFonts w:ascii="Arial" w:hAnsi="Arial" w:cs="Arial"/>
          <w:color w:val="000000"/>
          <w:sz w:val="22"/>
          <w:szCs w:val="22"/>
        </w:rPr>
        <w:t>This retrospective cohort study was a sub-study of the Australian Specialist Treatment of Inpatients: Caring for Diabetes (STOIC-D) in Surgery trial. We applied machine learning techniques to characterise the association between various clinical risk factors and postoperative adverse outcomes, including persistent adverse post-operative glycaemia (PAPG; defined as ≥2 adverse glycaemic days - days with any glucose ≤3.9 or ≥15.0 mmol/L), hyperglycaemia, hypoglycaemia, acute kidney injury, and healthcare-associated infection. Data from prior to pre-operation day 2 and days 2 to 5 post-operation were collected. Machine learning prediction models applied included: rpart (RP), elastic net (EN) and xgboost (XBG). Model performance was analysed using the area under the curve (AUC).</w:t>
      </w:r>
    </w:p>
    <w:p w14:paraId="13F3531B" w14:textId="77777777" w:rsidR="00A901D1" w:rsidRPr="00481679" w:rsidRDefault="00A901D1" w:rsidP="002D421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AA05040" w14:textId="6F0C7A8C" w:rsidR="00A901D1" w:rsidRPr="00481679" w:rsidRDefault="00A901D1" w:rsidP="002D421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81679">
        <w:rPr>
          <w:rFonts w:ascii="Arial" w:hAnsi="Arial" w:cs="Arial"/>
          <w:b/>
          <w:bCs/>
          <w:color w:val="000000"/>
          <w:sz w:val="22"/>
          <w:szCs w:val="22"/>
        </w:rPr>
        <w:t>Result</w:t>
      </w:r>
      <w:r w:rsidR="001E6952">
        <w:rPr>
          <w:rFonts w:ascii="Arial" w:hAnsi="Arial" w:cs="Arial"/>
          <w:b/>
          <w:bCs/>
          <w:color w:val="000000"/>
          <w:sz w:val="22"/>
          <w:szCs w:val="22"/>
        </w:rPr>
        <w:t>s</w:t>
      </w:r>
    </w:p>
    <w:p w14:paraId="2CC04281" w14:textId="77777777" w:rsidR="00A901D1" w:rsidRPr="00481679" w:rsidRDefault="00A901D1" w:rsidP="002D421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757101A" w14:textId="79CD68F0" w:rsidR="00A901D1" w:rsidRPr="00481679" w:rsidRDefault="00A901D1" w:rsidP="002D421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81679">
        <w:rPr>
          <w:rFonts w:ascii="Arial" w:hAnsi="Arial" w:cs="Arial"/>
          <w:color w:val="000000"/>
          <w:sz w:val="22"/>
          <w:szCs w:val="22"/>
        </w:rPr>
        <w:t xml:space="preserve">516 patients from the STOIC-D Surgery cohort who underwent an inpatient procedure were included. 327 patients had known diabetes, and 187 patients had newly diagnosed hyperglycaemia in hospital. 91 patients (17.6%) experienced PAPG. </w:t>
      </w:r>
      <w:r w:rsidR="00282BC2">
        <w:rPr>
          <w:rFonts w:ascii="Arial" w:hAnsi="Arial" w:cs="Arial"/>
          <w:color w:val="000000"/>
          <w:sz w:val="22"/>
          <w:szCs w:val="22"/>
        </w:rPr>
        <w:t>EN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 and </w:t>
      </w:r>
      <w:r w:rsidR="00282BC2">
        <w:rPr>
          <w:rFonts w:ascii="Arial" w:hAnsi="Arial" w:cs="Arial"/>
          <w:color w:val="000000"/>
          <w:sz w:val="22"/>
          <w:szCs w:val="22"/>
        </w:rPr>
        <w:t>XGB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 had similar predictive utility for PAPG (AUC 0.902 and 0.911, respectively) compared to </w:t>
      </w:r>
      <w:r w:rsidR="00317124">
        <w:rPr>
          <w:rFonts w:ascii="Arial" w:hAnsi="Arial" w:cs="Arial"/>
          <w:color w:val="000000"/>
          <w:sz w:val="22"/>
          <w:szCs w:val="22"/>
        </w:rPr>
        <w:t>RP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 (AUC 0.805). 21 predictors were retained using </w:t>
      </w:r>
      <w:r w:rsidR="00FC73DD">
        <w:rPr>
          <w:rFonts w:ascii="Arial" w:hAnsi="Arial" w:cs="Arial"/>
          <w:color w:val="000000"/>
          <w:sz w:val="22"/>
          <w:szCs w:val="22"/>
        </w:rPr>
        <w:t>EN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, the most useful predictor being </w:t>
      </w:r>
      <w:r w:rsidR="000A6E01">
        <w:rPr>
          <w:rFonts w:ascii="Arial" w:hAnsi="Arial" w:cs="Arial"/>
          <w:color w:val="000000"/>
          <w:sz w:val="22"/>
          <w:szCs w:val="22"/>
        </w:rPr>
        <w:t>pre-</w:t>
      </w:r>
      <w:r w:rsidRPr="00481679">
        <w:rPr>
          <w:rFonts w:ascii="Arial" w:hAnsi="Arial" w:cs="Arial"/>
          <w:color w:val="000000"/>
          <w:sz w:val="22"/>
          <w:szCs w:val="22"/>
        </w:rPr>
        <w:t>admission insulin</w:t>
      </w:r>
      <w:r w:rsidR="000A6E01">
        <w:rPr>
          <w:rFonts w:ascii="Arial" w:hAnsi="Arial" w:cs="Arial"/>
          <w:color w:val="000000"/>
          <w:sz w:val="22"/>
          <w:szCs w:val="22"/>
        </w:rPr>
        <w:t xml:space="preserve"> treatment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 (OR 2.587).</w:t>
      </w:r>
    </w:p>
    <w:p w14:paraId="29489653" w14:textId="77777777" w:rsidR="00A901D1" w:rsidRPr="00481679" w:rsidRDefault="00A901D1" w:rsidP="002D421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4BA2A3D" w14:textId="4CC632E9" w:rsidR="00A901D1" w:rsidRPr="00481679" w:rsidRDefault="00A901D1" w:rsidP="002D421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81679">
        <w:rPr>
          <w:rFonts w:ascii="Arial" w:hAnsi="Arial" w:cs="Arial"/>
          <w:b/>
          <w:bCs/>
          <w:color w:val="000000"/>
          <w:sz w:val="22"/>
          <w:szCs w:val="22"/>
        </w:rPr>
        <w:t>Conclusion</w:t>
      </w:r>
    </w:p>
    <w:p w14:paraId="747D3317" w14:textId="77777777" w:rsidR="00A901D1" w:rsidRPr="00481679" w:rsidRDefault="00A901D1" w:rsidP="002D4214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F19169" w14:textId="124D64B1" w:rsidR="00DF49D3" w:rsidRPr="00481679" w:rsidRDefault="00A901D1" w:rsidP="002D421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81679">
        <w:rPr>
          <w:rFonts w:ascii="Arial" w:hAnsi="Arial" w:cs="Arial"/>
          <w:color w:val="000000"/>
          <w:sz w:val="22"/>
          <w:szCs w:val="22"/>
        </w:rPr>
        <w:t>This study demonstrated that machine learning models could be successfully applied to clinically useful post-operative glucose-related adverse outcomes. Identifying patients at risk of adverse glycaemic outcomes can enable judicious allocation of resources in hospital, improving the ability to optimise glucose and prevent</w:t>
      </w:r>
      <w:r w:rsidR="00F60C1A">
        <w:rPr>
          <w:rFonts w:ascii="Arial" w:hAnsi="Arial" w:cs="Arial"/>
          <w:color w:val="000000"/>
          <w:sz w:val="22"/>
          <w:szCs w:val="22"/>
        </w:rPr>
        <w:t xml:space="preserve"> inpatient</w:t>
      </w:r>
      <w:r w:rsidRPr="00481679">
        <w:rPr>
          <w:rFonts w:ascii="Arial" w:hAnsi="Arial" w:cs="Arial"/>
          <w:color w:val="000000"/>
          <w:sz w:val="22"/>
          <w:szCs w:val="22"/>
        </w:rPr>
        <w:t xml:space="preserve"> adverse glucose-related morbidity.</w:t>
      </w:r>
    </w:p>
    <w:sectPr w:rsidR="00DF49D3" w:rsidRPr="004816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55"/>
    <w:rsid w:val="0000101D"/>
    <w:rsid w:val="00002577"/>
    <w:rsid w:val="000059ED"/>
    <w:rsid w:val="00015F8C"/>
    <w:rsid w:val="00034F43"/>
    <w:rsid w:val="00062209"/>
    <w:rsid w:val="000A2529"/>
    <w:rsid w:val="000A6E01"/>
    <w:rsid w:val="000B4471"/>
    <w:rsid w:val="000B5F96"/>
    <w:rsid w:val="000D3FC1"/>
    <w:rsid w:val="0010148C"/>
    <w:rsid w:val="00105169"/>
    <w:rsid w:val="001108DD"/>
    <w:rsid w:val="00116040"/>
    <w:rsid w:val="00160392"/>
    <w:rsid w:val="00163B50"/>
    <w:rsid w:val="00167194"/>
    <w:rsid w:val="0018777B"/>
    <w:rsid w:val="00191C6E"/>
    <w:rsid w:val="00197749"/>
    <w:rsid w:val="001B4224"/>
    <w:rsid w:val="001B6B75"/>
    <w:rsid w:val="001B76D9"/>
    <w:rsid w:val="001E6952"/>
    <w:rsid w:val="001F1B9B"/>
    <w:rsid w:val="002334C9"/>
    <w:rsid w:val="002464E5"/>
    <w:rsid w:val="002579FF"/>
    <w:rsid w:val="0026429B"/>
    <w:rsid w:val="00282BC2"/>
    <w:rsid w:val="00291DFF"/>
    <w:rsid w:val="002A330B"/>
    <w:rsid w:val="002A6819"/>
    <w:rsid w:val="002B205A"/>
    <w:rsid w:val="002D4214"/>
    <w:rsid w:val="002F60DE"/>
    <w:rsid w:val="00317124"/>
    <w:rsid w:val="003323BF"/>
    <w:rsid w:val="00353348"/>
    <w:rsid w:val="003636BF"/>
    <w:rsid w:val="00367D1D"/>
    <w:rsid w:val="00374B18"/>
    <w:rsid w:val="0038764B"/>
    <w:rsid w:val="003A2F53"/>
    <w:rsid w:val="003A3EB6"/>
    <w:rsid w:val="003A78C5"/>
    <w:rsid w:val="003B327E"/>
    <w:rsid w:val="003B5B47"/>
    <w:rsid w:val="003F1382"/>
    <w:rsid w:val="004243A3"/>
    <w:rsid w:val="004561A3"/>
    <w:rsid w:val="00462CA5"/>
    <w:rsid w:val="00467BE2"/>
    <w:rsid w:val="00476849"/>
    <w:rsid w:val="00481679"/>
    <w:rsid w:val="004C122C"/>
    <w:rsid w:val="004C50C4"/>
    <w:rsid w:val="004D3F21"/>
    <w:rsid w:val="004D45E7"/>
    <w:rsid w:val="004F0EB4"/>
    <w:rsid w:val="0050083F"/>
    <w:rsid w:val="005143E6"/>
    <w:rsid w:val="005569FA"/>
    <w:rsid w:val="0057117C"/>
    <w:rsid w:val="00573C73"/>
    <w:rsid w:val="00577100"/>
    <w:rsid w:val="0059499C"/>
    <w:rsid w:val="005B601D"/>
    <w:rsid w:val="005D563C"/>
    <w:rsid w:val="005E7912"/>
    <w:rsid w:val="005F603B"/>
    <w:rsid w:val="00616E5B"/>
    <w:rsid w:val="006256E4"/>
    <w:rsid w:val="00637B48"/>
    <w:rsid w:val="00645B5A"/>
    <w:rsid w:val="00650034"/>
    <w:rsid w:val="0065045C"/>
    <w:rsid w:val="00652F21"/>
    <w:rsid w:val="00691BE4"/>
    <w:rsid w:val="006B557E"/>
    <w:rsid w:val="006C22DB"/>
    <w:rsid w:val="006C2584"/>
    <w:rsid w:val="006D442A"/>
    <w:rsid w:val="006D6B0C"/>
    <w:rsid w:val="006E31C1"/>
    <w:rsid w:val="007240D3"/>
    <w:rsid w:val="00767557"/>
    <w:rsid w:val="007750A7"/>
    <w:rsid w:val="00777C21"/>
    <w:rsid w:val="007822B0"/>
    <w:rsid w:val="007B1755"/>
    <w:rsid w:val="007F4DB1"/>
    <w:rsid w:val="007F72C2"/>
    <w:rsid w:val="00821536"/>
    <w:rsid w:val="0082423B"/>
    <w:rsid w:val="00832D79"/>
    <w:rsid w:val="008377DD"/>
    <w:rsid w:val="0084523A"/>
    <w:rsid w:val="008556E4"/>
    <w:rsid w:val="008905EA"/>
    <w:rsid w:val="008B2082"/>
    <w:rsid w:val="008F08E5"/>
    <w:rsid w:val="008F42B5"/>
    <w:rsid w:val="00921C18"/>
    <w:rsid w:val="00924133"/>
    <w:rsid w:val="00933BD9"/>
    <w:rsid w:val="00974476"/>
    <w:rsid w:val="00980DBB"/>
    <w:rsid w:val="009A29C0"/>
    <w:rsid w:val="009A30AB"/>
    <w:rsid w:val="009E75F0"/>
    <w:rsid w:val="00A4527F"/>
    <w:rsid w:val="00A64887"/>
    <w:rsid w:val="00A7514F"/>
    <w:rsid w:val="00A8414F"/>
    <w:rsid w:val="00A901D1"/>
    <w:rsid w:val="00A92F5F"/>
    <w:rsid w:val="00AB1413"/>
    <w:rsid w:val="00AC0020"/>
    <w:rsid w:val="00AC3CC2"/>
    <w:rsid w:val="00AC428B"/>
    <w:rsid w:val="00AD3546"/>
    <w:rsid w:val="00AD35CA"/>
    <w:rsid w:val="00AD50DD"/>
    <w:rsid w:val="00AD613B"/>
    <w:rsid w:val="00AF3C9A"/>
    <w:rsid w:val="00AF613E"/>
    <w:rsid w:val="00B04A89"/>
    <w:rsid w:val="00B23ABA"/>
    <w:rsid w:val="00B56F5B"/>
    <w:rsid w:val="00B620F3"/>
    <w:rsid w:val="00B66B40"/>
    <w:rsid w:val="00B704FC"/>
    <w:rsid w:val="00B749A4"/>
    <w:rsid w:val="00BB4DD4"/>
    <w:rsid w:val="00BB5067"/>
    <w:rsid w:val="00BF3C69"/>
    <w:rsid w:val="00C01CFE"/>
    <w:rsid w:val="00C055AD"/>
    <w:rsid w:val="00C22DD9"/>
    <w:rsid w:val="00C2506C"/>
    <w:rsid w:val="00C4635A"/>
    <w:rsid w:val="00C959E4"/>
    <w:rsid w:val="00C97C35"/>
    <w:rsid w:val="00CA64C1"/>
    <w:rsid w:val="00CB7D9E"/>
    <w:rsid w:val="00CD3813"/>
    <w:rsid w:val="00CE0F90"/>
    <w:rsid w:val="00D222ED"/>
    <w:rsid w:val="00D24FB6"/>
    <w:rsid w:val="00D3204E"/>
    <w:rsid w:val="00D33108"/>
    <w:rsid w:val="00D851DB"/>
    <w:rsid w:val="00D95549"/>
    <w:rsid w:val="00DA66D1"/>
    <w:rsid w:val="00DA6700"/>
    <w:rsid w:val="00DB2102"/>
    <w:rsid w:val="00DC3B10"/>
    <w:rsid w:val="00DD6894"/>
    <w:rsid w:val="00DE111F"/>
    <w:rsid w:val="00DE53CF"/>
    <w:rsid w:val="00DF49D3"/>
    <w:rsid w:val="00DF689B"/>
    <w:rsid w:val="00E05A94"/>
    <w:rsid w:val="00E12A60"/>
    <w:rsid w:val="00E2162A"/>
    <w:rsid w:val="00E34ED3"/>
    <w:rsid w:val="00E44D98"/>
    <w:rsid w:val="00E83BE7"/>
    <w:rsid w:val="00E909B0"/>
    <w:rsid w:val="00EC3FB6"/>
    <w:rsid w:val="00EE0AE1"/>
    <w:rsid w:val="00EE0C39"/>
    <w:rsid w:val="00F07117"/>
    <w:rsid w:val="00F12102"/>
    <w:rsid w:val="00F23BD2"/>
    <w:rsid w:val="00F35C9A"/>
    <w:rsid w:val="00F60C1A"/>
    <w:rsid w:val="00F62961"/>
    <w:rsid w:val="00F77949"/>
    <w:rsid w:val="00F80E08"/>
    <w:rsid w:val="00FC73DD"/>
    <w:rsid w:val="00FD00D1"/>
    <w:rsid w:val="00FD6A71"/>
    <w:rsid w:val="00FF3D04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A79C9"/>
  <w15:chartTrackingRefBased/>
  <w15:docId w15:val="{FDF43591-819F-ED4D-B547-20BBEB7B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1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7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7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7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7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7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7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7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75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F6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Albanese</dc:creator>
  <cp:keywords/>
  <dc:description/>
  <cp:lastModifiedBy>Chelsea Albanese</cp:lastModifiedBy>
  <cp:revision>6</cp:revision>
  <dcterms:created xsi:type="dcterms:W3CDTF">2026-03-11T10:05:00Z</dcterms:created>
  <dcterms:modified xsi:type="dcterms:W3CDTF">2026-03-11T10:10:00Z</dcterms:modified>
</cp:coreProperties>
</file>