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203FC" w:rsidRPr="0050053A" w14:paraId="7AAD3610" w14:textId="77777777" w:rsidTr="00FC7A9E">
        <w:trPr>
          <w:jc w:val="center"/>
        </w:trPr>
        <w:tc>
          <w:tcPr>
            <w:tcW w:w="8640" w:type="dxa"/>
            <w:shd w:val="clear" w:color="auto" w:fill="auto"/>
          </w:tcPr>
          <w:p w14:paraId="4A31FC69" w14:textId="3ADB7C7A" w:rsidR="004203FC" w:rsidRPr="00F27186" w:rsidRDefault="00ED1B69" w:rsidP="00F27186">
            <w:pPr>
              <w:rPr>
                <w:rFonts w:ascii="Arial" w:hAnsi="Arial" w:cs="Arial"/>
                <w:b/>
                <w:bCs/>
                <w:sz w:val="22"/>
                <w:szCs w:val="22"/>
              </w:rPr>
            </w:pPr>
            <w:r w:rsidRPr="00F27186">
              <w:rPr>
                <w:rFonts w:ascii="Arial" w:hAnsi="Arial" w:cs="Arial"/>
                <w:b/>
                <w:bCs/>
                <w:sz w:val="22"/>
                <w:szCs w:val="22"/>
              </w:rPr>
              <w:t>Fetal drug exposure after maternally administered CFTR modulators Elexacaftor/Tezacaftor/Ivacaftor in a rat model</w:t>
            </w:r>
          </w:p>
        </w:tc>
      </w:tr>
      <w:tr w:rsidR="004203FC" w:rsidRPr="00E40B09" w14:paraId="32962295" w14:textId="77777777" w:rsidTr="00FC7A9E">
        <w:trPr>
          <w:jc w:val="center"/>
        </w:trPr>
        <w:tc>
          <w:tcPr>
            <w:tcW w:w="8640" w:type="dxa"/>
            <w:shd w:val="clear" w:color="auto" w:fill="auto"/>
          </w:tcPr>
          <w:p w14:paraId="61FFEF8F" w14:textId="08066F3E" w:rsidR="004203FC" w:rsidRPr="00F27186" w:rsidRDefault="004203FC" w:rsidP="004203FC">
            <w:pPr>
              <w:widowControl w:val="0"/>
              <w:autoSpaceDE w:val="0"/>
              <w:autoSpaceDN w:val="0"/>
              <w:adjustRightInd w:val="0"/>
              <w:jc w:val="both"/>
              <w:rPr>
                <w:rFonts w:ascii="Arial" w:eastAsia="MS Mincho" w:hAnsi="Arial" w:cs="Arial"/>
                <w:b/>
                <w:sz w:val="22"/>
                <w:szCs w:val="22"/>
              </w:rPr>
            </w:pPr>
            <w:r w:rsidRPr="00F27186">
              <w:rPr>
                <w:rFonts w:ascii="Arial" w:eastAsia="MS Mincho" w:hAnsi="Arial" w:cs="Arial"/>
                <w:sz w:val="22"/>
                <w:szCs w:val="22"/>
              </w:rPr>
              <w:t>Danni Li</w:t>
            </w:r>
            <w:r w:rsidRPr="00F27186">
              <w:rPr>
                <w:rFonts w:ascii="Arial" w:eastAsia="MS Mincho" w:hAnsi="Arial" w:cs="Arial"/>
                <w:sz w:val="22"/>
                <w:szCs w:val="22"/>
                <w:vertAlign w:val="superscript"/>
              </w:rPr>
              <w:t>1</w:t>
            </w:r>
            <w:r w:rsidRPr="00F27186">
              <w:rPr>
                <w:rFonts w:ascii="Arial" w:eastAsia="MS Mincho" w:hAnsi="Arial" w:cs="Arial"/>
                <w:sz w:val="22"/>
                <w:szCs w:val="22"/>
              </w:rPr>
              <w:t>, Mark D. Habgood</w:t>
            </w:r>
            <w:r w:rsidRPr="00F27186">
              <w:rPr>
                <w:rFonts w:ascii="Arial" w:eastAsia="MS Mincho" w:hAnsi="Arial" w:cs="Arial"/>
                <w:sz w:val="22"/>
                <w:szCs w:val="22"/>
                <w:vertAlign w:val="superscript"/>
              </w:rPr>
              <w:t>1</w:t>
            </w:r>
            <w:r w:rsidRPr="00F27186">
              <w:rPr>
                <w:rFonts w:ascii="Arial" w:eastAsia="MS Mincho" w:hAnsi="Arial" w:cs="Arial"/>
                <w:sz w:val="22"/>
                <w:szCs w:val="22"/>
              </w:rPr>
              <w:t>, Elena K. Schneider-Futschik</w:t>
            </w:r>
            <w:r w:rsidRPr="00F27186">
              <w:rPr>
                <w:rFonts w:ascii="Arial" w:eastAsia="MS Mincho" w:hAnsi="Arial" w:cs="Arial"/>
                <w:sz w:val="22"/>
                <w:szCs w:val="22"/>
                <w:vertAlign w:val="superscript"/>
              </w:rPr>
              <w:t>1*</w:t>
            </w:r>
          </w:p>
        </w:tc>
      </w:tr>
      <w:tr w:rsidR="004203FC" w:rsidRPr="0050053A" w14:paraId="313EF1FD" w14:textId="77777777" w:rsidTr="00FC7A9E">
        <w:trPr>
          <w:trHeight w:val="136"/>
          <w:jc w:val="center"/>
        </w:trPr>
        <w:tc>
          <w:tcPr>
            <w:tcW w:w="8640" w:type="dxa"/>
            <w:shd w:val="clear" w:color="auto" w:fill="auto"/>
          </w:tcPr>
          <w:p w14:paraId="7B8826A1" w14:textId="4E5A748F" w:rsidR="004203FC" w:rsidRPr="00F27186" w:rsidRDefault="004203FC" w:rsidP="004203FC">
            <w:pPr>
              <w:widowControl w:val="0"/>
              <w:autoSpaceDE w:val="0"/>
              <w:autoSpaceDN w:val="0"/>
              <w:adjustRightInd w:val="0"/>
              <w:jc w:val="both"/>
              <w:rPr>
                <w:rFonts w:ascii="Arial" w:hAnsi="Arial" w:cs="Arial"/>
                <w:sz w:val="22"/>
                <w:szCs w:val="22"/>
              </w:rPr>
            </w:pPr>
            <w:r w:rsidRPr="00F27186">
              <w:rPr>
                <w:rFonts w:ascii="Arial" w:eastAsia="MS Mincho" w:hAnsi="Arial" w:cs="Arial"/>
                <w:b/>
                <w:bCs/>
                <w:i/>
                <w:iCs/>
                <w:sz w:val="22"/>
                <w:szCs w:val="22"/>
                <w:vertAlign w:val="superscript"/>
              </w:rPr>
              <w:t>1</w:t>
            </w:r>
            <w:r w:rsidRPr="00F27186">
              <w:rPr>
                <w:rFonts w:ascii="Arial" w:eastAsia="MS Mincho" w:hAnsi="Arial" w:cs="Arial"/>
                <w:i/>
                <w:iCs/>
                <w:kern w:val="32"/>
                <w:sz w:val="22"/>
                <w:szCs w:val="22"/>
              </w:rPr>
              <w:t>Department of Biochemistry &amp; Pharmacology, School of Biomedical Sciences, Faculty of Medicine, Dentistry and Health Sciences, The University of Melbourne, Parkville, VIC, 3010, Australia</w:t>
            </w:r>
            <w:r w:rsidR="00ED1B69" w:rsidRPr="00F27186">
              <w:rPr>
                <w:rFonts w:ascii="Arial" w:eastAsia="MS Mincho" w:hAnsi="Arial" w:cs="Arial"/>
                <w:i/>
                <w:iCs/>
                <w:kern w:val="32"/>
                <w:sz w:val="22"/>
                <w:szCs w:val="22"/>
              </w:rPr>
              <w:t>.</w:t>
            </w:r>
          </w:p>
        </w:tc>
      </w:tr>
      <w:tr w:rsidR="004203FC" w:rsidRPr="0050053A" w14:paraId="206E60C0" w14:textId="77777777" w:rsidTr="004203FC">
        <w:trPr>
          <w:trHeight w:hRule="exact" w:val="10114"/>
          <w:jc w:val="center"/>
        </w:trPr>
        <w:tc>
          <w:tcPr>
            <w:tcW w:w="8640" w:type="dxa"/>
            <w:shd w:val="clear" w:color="auto" w:fill="auto"/>
          </w:tcPr>
          <w:p w14:paraId="30475051" w14:textId="77777777" w:rsidR="004203FC" w:rsidRPr="00F27186" w:rsidRDefault="004203FC" w:rsidP="00FC7A9E">
            <w:pPr>
              <w:pStyle w:val="Pa12"/>
              <w:rPr>
                <w:rStyle w:val="A4"/>
                <w:b/>
                <w:bCs/>
              </w:rPr>
            </w:pPr>
          </w:p>
          <w:p w14:paraId="31DEDFA8" w14:textId="77777777" w:rsidR="00ED1B69" w:rsidRPr="00F27186" w:rsidRDefault="00ED1B69" w:rsidP="00ED1B69">
            <w:pPr>
              <w:pStyle w:val="Pa12"/>
              <w:rPr>
                <w:rStyle w:val="A4"/>
              </w:rPr>
            </w:pPr>
            <w:r w:rsidRPr="00F27186">
              <w:rPr>
                <w:rStyle w:val="A4"/>
                <w:b/>
                <w:bCs/>
              </w:rPr>
              <w:t>Background:</w:t>
            </w:r>
            <w:r w:rsidRPr="00F27186">
              <w:rPr>
                <w:rStyle w:val="A4"/>
              </w:rPr>
              <w:t xml:space="preserve"> The potential effects of the very effective cystic fibrosis triple combination drug, Elexacaftor/Tezacaftor/Ivacaftor (ETI) in pregnancy on prenatal development of offspring remain largely unknown. We aimed to investigate the fetal tissue distribution pattern of maternally administered ETI by placental transfer in the rat fetuses. </w:t>
            </w:r>
          </w:p>
          <w:p w14:paraId="2D6085C4" w14:textId="77777777" w:rsidR="00ED1B69" w:rsidRPr="00F27186" w:rsidRDefault="00ED1B69" w:rsidP="00ED1B69">
            <w:pPr>
              <w:pStyle w:val="Pa12"/>
              <w:rPr>
                <w:rStyle w:val="A4"/>
              </w:rPr>
            </w:pPr>
          </w:p>
          <w:p w14:paraId="26BC2DD2" w14:textId="77777777" w:rsidR="00ED1B69" w:rsidRPr="00F27186" w:rsidRDefault="00ED1B69" w:rsidP="00ED1B69">
            <w:pPr>
              <w:pStyle w:val="Pa12"/>
              <w:rPr>
                <w:rStyle w:val="A4"/>
              </w:rPr>
            </w:pPr>
            <w:r w:rsidRPr="00F27186">
              <w:rPr>
                <w:rStyle w:val="A4"/>
                <w:b/>
                <w:bCs/>
              </w:rPr>
              <w:t>Study Design and Methods</w:t>
            </w:r>
            <w:r w:rsidRPr="00F27186">
              <w:rPr>
                <w:rStyle w:val="A4"/>
              </w:rPr>
              <w:t xml:space="preserve">: Sprague Dawley pregnant rats were administered ETI (6.7 mg/kg/d elexacaftor + 3.5 mg/kg/d tezacaftor + 25 mg/kg/d ivacaftor) traced with [3H]-ivacaftor in single dose acute experiments (intraperitoneal injection) or treated orally with ETI (the same dose) for 7 days in sub-chronic experiments. Fetal tissue samples were collected at embryonic day (E) 19 and </w:t>
            </w:r>
            <w:proofErr w:type="spellStart"/>
            <w:r w:rsidRPr="00F27186">
              <w:rPr>
                <w:rStyle w:val="A4"/>
              </w:rPr>
              <w:t>analyzed</w:t>
            </w:r>
            <w:proofErr w:type="spellEnd"/>
            <w:r w:rsidRPr="00F27186">
              <w:rPr>
                <w:rStyle w:val="A4"/>
              </w:rPr>
              <w:t xml:space="preserve"> using liquid scintillation counting for acute experiments or liquid chromatography-mass spectrometry for sub-chronic experiments. </w:t>
            </w:r>
          </w:p>
          <w:p w14:paraId="77E58771" w14:textId="77777777" w:rsidR="00ED1B69" w:rsidRPr="00F27186" w:rsidRDefault="00ED1B69" w:rsidP="00ED1B69">
            <w:pPr>
              <w:pStyle w:val="Pa12"/>
              <w:rPr>
                <w:rStyle w:val="A4"/>
              </w:rPr>
            </w:pPr>
          </w:p>
          <w:p w14:paraId="5B983C62" w14:textId="1C36A85C" w:rsidR="00ED1B69" w:rsidRPr="00F27186" w:rsidRDefault="00ED1B69" w:rsidP="00ED1B69">
            <w:pPr>
              <w:pStyle w:val="Pa12"/>
              <w:rPr>
                <w:color w:val="000000"/>
                <w:sz w:val="22"/>
                <w:szCs w:val="22"/>
              </w:rPr>
            </w:pPr>
            <w:r w:rsidRPr="00F27186">
              <w:rPr>
                <w:rStyle w:val="A4"/>
                <w:b/>
                <w:bCs/>
              </w:rPr>
              <w:t>Results:</w:t>
            </w:r>
            <w:r w:rsidRPr="00F27186">
              <w:rPr>
                <w:rStyle w:val="A4"/>
              </w:rPr>
              <w:t xml:space="preserve"> On day E19, after acute exposure, the entry of ivacaftor into fetal brain (brain/plasma concentration ratios &lt;50%) was significantly lower than to other tissues (&gt;100%). </w:t>
            </w:r>
          </w:p>
          <w:p w14:paraId="583D10B7" w14:textId="77777777" w:rsidR="00ED1B69" w:rsidRPr="00F27186" w:rsidRDefault="00ED1B69" w:rsidP="00ED1B69">
            <w:pPr>
              <w:pStyle w:val="Pa12"/>
              <w:rPr>
                <w:rStyle w:val="A4"/>
              </w:rPr>
            </w:pPr>
            <w:r w:rsidRPr="00F27186">
              <w:rPr>
                <w:rStyle w:val="A4"/>
              </w:rPr>
              <w:t xml:space="preserve">However, after sub-chronic exposure, the entry of all 3 components into the developing brain was comparably extensive as into other tissues (tissue/plasma ratios, 260 – 1000%). Each component of ETI accumulated in different fetal tissues to approximately equal extent. Inter-litter differences on fetal drug distribution were found in cortex for ivacaftor, muscle for tezacaftor and cortex and mid/hindbrain for elexacaftor. Fetal plasma concentrations of ETI (ng/mL) were variable between litters. The entry of ivacaftor and tezacaftor into adult brain appeared to be restricted (&lt;100%).  </w:t>
            </w:r>
          </w:p>
          <w:p w14:paraId="097767F6" w14:textId="77777777" w:rsidR="00ED1B69" w:rsidRPr="00F27186" w:rsidRDefault="00ED1B69" w:rsidP="00ED1B69">
            <w:pPr>
              <w:pStyle w:val="Default"/>
              <w:rPr>
                <w:sz w:val="22"/>
                <w:szCs w:val="22"/>
              </w:rPr>
            </w:pPr>
          </w:p>
          <w:p w14:paraId="14036050" w14:textId="381381C3" w:rsidR="00ED1B69" w:rsidRPr="00F27186" w:rsidRDefault="00ED1B69" w:rsidP="00ED1B69">
            <w:pPr>
              <w:pStyle w:val="Pa12"/>
              <w:rPr>
                <w:rStyle w:val="A4"/>
              </w:rPr>
            </w:pPr>
            <w:r w:rsidRPr="00F27186">
              <w:rPr>
                <w:rStyle w:val="A4"/>
                <w:b/>
                <w:bCs/>
              </w:rPr>
              <w:t>Conclusion:</w:t>
            </w:r>
            <w:r w:rsidRPr="00F27186">
              <w:rPr>
                <w:rStyle w:val="A4"/>
              </w:rPr>
              <w:t xml:space="preserve"> Fetal rats are exposed to maternally ingested ETI after sub-chronic exposure, potentially impacting fetal development. The brain entry data highlights the need for attention be paid to any long-term potential effects ETI exposure could have on normal brain development.</w:t>
            </w:r>
          </w:p>
          <w:p w14:paraId="7C783DE3" w14:textId="77777777" w:rsidR="00ED1B69" w:rsidRPr="00F27186" w:rsidRDefault="00ED1B69" w:rsidP="00ED1B69">
            <w:pPr>
              <w:pStyle w:val="Default"/>
              <w:rPr>
                <w:sz w:val="22"/>
                <w:szCs w:val="22"/>
              </w:rPr>
            </w:pPr>
          </w:p>
          <w:p w14:paraId="78636984" w14:textId="77777777" w:rsidR="00ED1B69" w:rsidRPr="00F27186" w:rsidRDefault="00ED1B69" w:rsidP="00ED1B69">
            <w:pPr>
              <w:pStyle w:val="Default"/>
              <w:rPr>
                <w:sz w:val="22"/>
                <w:szCs w:val="22"/>
              </w:rPr>
            </w:pPr>
          </w:p>
          <w:p w14:paraId="3AE105D9" w14:textId="724674FF" w:rsidR="004203FC" w:rsidRPr="00F27186" w:rsidRDefault="004203FC" w:rsidP="00FC7A9E">
            <w:pPr>
              <w:pStyle w:val="Pa12"/>
              <w:rPr>
                <w:rStyle w:val="A4"/>
                <w:b/>
                <w:bCs/>
              </w:rPr>
            </w:pPr>
            <w:r w:rsidRPr="00F27186">
              <w:rPr>
                <w:rStyle w:val="A4"/>
                <w:b/>
                <w:bCs/>
              </w:rPr>
              <w:t xml:space="preserve">Grant Support: </w:t>
            </w:r>
          </w:p>
          <w:p w14:paraId="65AA282D" w14:textId="149C39E6" w:rsidR="004203FC" w:rsidRPr="00F27186" w:rsidRDefault="00970C92" w:rsidP="00FC7A9E">
            <w:pPr>
              <w:pStyle w:val="Pa12"/>
              <w:rPr>
                <w:sz w:val="22"/>
                <w:szCs w:val="22"/>
              </w:rPr>
            </w:pPr>
            <w:r w:rsidRPr="00F27186">
              <w:rPr>
                <w:sz w:val="22"/>
                <w:szCs w:val="22"/>
              </w:rPr>
              <w:t>EKS-F is supported by the National Health and Medical Research Council (Grant ID: APP1157287) Cystic Fibrosis Australia (Innovation Award 2021) and the University of Melbourne.</w:t>
            </w:r>
            <w:r w:rsidR="004203FC" w:rsidRPr="00F27186">
              <w:rPr>
                <w:sz w:val="22"/>
                <w:szCs w:val="22"/>
              </w:rPr>
              <w:br/>
            </w:r>
            <w:r w:rsidR="004203FC" w:rsidRPr="00F27186">
              <w:rPr>
                <w:sz w:val="22"/>
                <w:szCs w:val="22"/>
              </w:rPr>
              <w:br/>
            </w:r>
            <w:r w:rsidR="004203FC" w:rsidRPr="00F27186">
              <w:rPr>
                <w:sz w:val="22"/>
                <w:szCs w:val="22"/>
              </w:rPr>
              <w:br/>
            </w:r>
            <w:r w:rsidR="004203FC" w:rsidRPr="00F27186">
              <w:rPr>
                <w:sz w:val="22"/>
                <w:szCs w:val="22"/>
              </w:rPr>
              <w:br/>
            </w:r>
            <w:r w:rsidR="004203FC" w:rsidRPr="00F27186">
              <w:rPr>
                <w:sz w:val="22"/>
                <w:szCs w:val="22"/>
              </w:rPr>
              <w:br/>
            </w:r>
            <w:r w:rsidR="004203FC" w:rsidRPr="00F27186">
              <w:rPr>
                <w:sz w:val="22"/>
                <w:szCs w:val="22"/>
              </w:rPr>
              <w:br/>
            </w:r>
            <w:r w:rsidR="004203FC" w:rsidRPr="00F27186">
              <w:rPr>
                <w:sz w:val="22"/>
                <w:szCs w:val="22"/>
              </w:rPr>
              <w:br/>
            </w:r>
            <w:r w:rsidR="004203FC" w:rsidRPr="00F27186">
              <w:rPr>
                <w:sz w:val="22"/>
                <w:szCs w:val="22"/>
              </w:rPr>
              <w:br/>
            </w:r>
            <w:r w:rsidR="004203FC" w:rsidRPr="00F27186">
              <w:rPr>
                <w:sz w:val="22"/>
                <w:szCs w:val="22"/>
              </w:rPr>
              <w:br/>
            </w:r>
          </w:p>
          <w:p w14:paraId="4BD43817" w14:textId="77777777" w:rsidR="004203FC" w:rsidRPr="00F27186" w:rsidRDefault="004203FC" w:rsidP="00FC7A9E">
            <w:pPr>
              <w:pStyle w:val="Default"/>
              <w:rPr>
                <w:sz w:val="22"/>
                <w:szCs w:val="22"/>
              </w:rPr>
            </w:pPr>
          </w:p>
          <w:p w14:paraId="277899DB" w14:textId="77777777" w:rsidR="004203FC" w:rsidRPr="00F27186" w:rsidRDefault="004203FC" w:rsidP="00FC7A9E">
            <w:pPr>
              <w:pStyle w:val="Default"/>
              <w:rPr>
                <w:sz w:val="22"/>
                <w:szCs w:val="22"/>
              </w:rPr>
            </w:pPr>
          </w:p>
          <w:p w14:paraId="58B335AF" w14:textId="77777777" w:rsidR="004203FC" w:rsidRPr="00F27186" w:rsidRDefault="004203FC" w:rsidP="00FC7A9E">
            <w:pPr>
              <w:pStyle w:val="Pa12"/>
              <w:rPr>
                <w:rStyle w:val="A4"/>
                <w:bCs/>
              </w:rPr>
            </w:pPr>
            <w:r w:rsidRPr="00F27186">
              <w:rPr>
                <w:rStyle w:val="A4"/>
                <w:bCs/>
              </w:rPr>
              <w:br/>
            </w:r>
            <w:r w:rsidRPr="00F27186">
              <w:rPr>
                <w:rStyle w:val="A4"/>
                <w:bCs/>
              </w:rPr>
              <w:br/>
            </w:r>
            <w:r w:rsidRPr="00F27186">
              <w:rPr>
                <w:rStyle w:val="A4"/>
                <w:bCs/>
              </w:rPr>
              <w:br/>
            </w:r>
            <w:r w:rsidRPr="00F27186">
              <w:rPr>
                <w:rStyle w:val="A4"/>
                <w:bCs/>
              </w:rPr>
              <w:br/>
            </w:r>
            <w:r w:rsidRPr="00F27186">
              <w:rPr>
                <w:rStyle w:val="A4"/>
                <w:bCs/>
              </w:rPr>
              <w:br/>
            </w:r>
            <w:r w:rsidRPr="00F27186">
              <w:rPr>
                <w:rStyle w:val="A4"/>
                <w:bCs/>
              </w:rPr>
              <w:br/>
            </w:r>
            <w:r w:rsidRPr="00F27186">
              <w:rPr>
                <w:rStyle w:val="A4"/>
                <w:bCs/>
              </w:rPr>
              <w:br/>
            </w:r>
            <w:r w:rsidRPr="00F27186">
              <w:rPr>
                <w:rStyle w:val="A4"/>
                <w:bCs/>
              </w:rPr>
              <w:br/>
            </w:r>
            <w:r w:rsidRPr="00F27186">
              <w:rPr>
                <w:rStyle w:val="A4"/>
                <w:bCs/>
              </w:rPr>
              <w:br/>
            </w:r>
            <w:r w:rsidRPr="00F27186">
              <w:rPr>
                <w:rStyle w:val="A4"/>
                <w:bCs/>
              </w:rPr>
              <w:br/>
            </w:r>
            <w:r w:rsidRPr="00F27186">
              <w:rPr>
                <w:rStyle w:val="A4"/>
                <w:bCs/>
              </w:rPr>
              <w:br/>
            </w:r>
          </w:p>
          <w:p w14:paraId="6E1F4D38" w14:textId="77777777" w:rsidR="004203FC" w:rsidRPr="00F27186" w:rsidRDefault="004203FC" w:rsidP="00FC7A9E">
            <w:pPr>
              <w:pStyle w:val="Default"/>
              <w:rPr>
                <w:rStyle w:val="A4"/>
                <w:bCs/>
              </w:rPr>
            </w:pPr>
          </w:p>
          <w:p w14:paraId="41E24498" w14:textId="77777777" w:rsidR="004203FC" w:rsidRPr="00F27186" w:rsidRDefault="004203FC" w:rsidP="00FC7A9E">
            <w:pPr>
              <w:pStyle w:val="Default"/>
              <w:rPr>
                <w:sz w:val="22"/>
                <w:szCs w:val="22"/>
                <w:lang w:val="en-US" w:eastAsia="en-GB"/>
              </w:rPr>
            </w:pP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r w:rsidRPr="00F27186">
              <w:rPr>
                <w:sz w:val="22"/>
                <w:szCs w:val="22"/>
                <w:lang w:val="en-US" w:eastAsia="en-GB"/>
              </w:rPr>
              <w:br/>
            </w:r>
          </w:p>
        </w:tc>
      </w:tr>
    </w:tbl>
    <w:p w14:paraId="45825DF2" w14:textId="77777777" w:rsidR="004203FC" w:rsidRDefault="004203FC"/>
    <w:p w14:paraId="355AEF98" w14:textId="77777777" w:rsidR="004203FC" w:rsidRDefault="004203FC"/>
    <w:sectPr w:rsidR="004203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3FC"/>
    <w:rsid w:val="00042B91"/>
    <w:rsid w:val="00072CA4"/>
    <w:rsid w:val="000C1B3D"/>
    <w:rsid w:val="000F4A21"/>
    <w:rsid w:val="00161DCD"/>
    <w:rsid w:val="00163356"/>
    <w:rsid w:val="0018742A"/>
    <w:rsid w:val="001A008C"/>
    <w:rsid w:val="001C66B5"/>
    <w:rsid w:val="002D69D5"/>
    <w:rsid w:val="00310EEE"/>
    <w:rsid w:val="003162EA"/>
    <w:rsid w:val="004203FC"/>
    <w:rsid w:val="00460B67"/>
    <w:rsid w:val="004C7D8E"/>
    <w:rsid w:val="00597E39"/>
    <w:rsid w:val="005B4B5A"/>
    <w:rsid w:val="00643D29"/>
    <w:rsid w:val="00686F85"/>
    <w:rsid w:val="006F02FB"/>
    <w:rsid w:val="007203CF"/>
    <w:rsid w:val="007362BB"/>
    <w:rsid w:val="007468C3"/>
    <w:rsid w:val="007C1418"/>
    <w:rsid w:val="007C2A52"/>
    <w:rsid w:val="007D0E89"/>
    <w:rsid w:val="00805FFF"/>
    <w:rsid w:val="00822C8E"/>
    <w:rsid w:val="008625E6"/>
    <w:rsid w:val="008743DD"/>
    <w:rsid w:val="00880640"/>
    <w:rsid w:val="00907BFF"/>
    <w:rsid w:val="00941190"/>
    <w:rsid w:val="00952130"/>
    <w:rsid w:val="00970C92"/>
    <w:rsid w:val="0097621C"/>
    <w:rsid w:val="00980C7E"/>
    <w:rsid w:val="009A2EFB"/>
    <w:rsid w:val="009F4BE8"/>
    <w:rsid w:val="00AA0150"/>
    <w:rsid w:val="00AC722A"/>
    <w:rsid w:val="00B424CF"/>
    <w:rsid w:val="00BB25A1"/>
    <w:rsid w:val="00BC639D"/>
    <w:rsid w:val="00BF0DE4"/>
    <w:rsid w:val="00C04CB1"/>
    <w:rsid w:val="00C15F60"/>
    <w:rsid w:val="00C66D49"/>
    <w:rsid w:val="00CE4924"/>
    <w:rsid w:val="00D91101"/>
    <w:rsid w:val="00E57FAA"/>
    <w:rsid w:val="00E73237"/>
    <w:rsid w:val="00EB3426"/>
    <w:rsid w:val="00EC3654"/>
    <w:rsid w:val="00ED1B69"/>
    <w:rsid w:val="00F27186"/>
    <w:rsid w:val="00F36B34"/>
    <w:rsid w:val="00FC5E8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0683"/>
  <w15:chartTrackingRefBased/>
  <w15:docId w15:val="{4C52B335-D8C7-D248-A94A-17E4B2A9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3FC"/>
    <w:rPr>
      <w:rFonts w:ascii="Times New Roman" w:eastAsia="Times New Roman" w:hAnsi="Times New Roman" w:cs="Times New Roman"/>
      <w:kern w:val="0"/>
      <w:lang w:val="en-GB"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03FC"/>
    <w:pPr>
      <w:autoSpaceDE w:val="0"/>
      <w:autoSpaceDN w:val="0"/>
      <w:adjustRightInd w:val="0"/>
    </w:pPr>
    <w:rPr>
      <w:rFonts w:ascii="Arial" w:eastAsia="Times New Roman" w:hAnsi="Arial" w:cs="Arial"/>
      <w:color w:val="000000"/>
      <w:kern w:val="0"/>
      <w:lang w:val="en-NZ" w:eastAsia="en-NZ"/>
      <w14:ligatures w14:val="none"/>
    </w:rPr>
  </w:style>
  <w:style w:type="character" w:customStyle="1" w:styleId="A4">
    <w:name w:val="A4"/>
    <w:uiPriority w:val="99"/>
    <w:rsid w:val="004203FC"/>
    <w:rPr>
      <w:color w:val="000000"/>
      <w:sz w:val="22"/>
      <w:szCs w:val="22"/>
    </w:rPr>
  </w:style>
  <w:style w:type="paragraph" w:customStyle="1" w:styleId="Pa12">
    <w:name w:val="Pa12"/>
    <w:basedOn w:val="Default"/>
    <w:next w:val="Default"/>
    <w:uiPriority w:val="99"/>
    <w:rsid w:val="004203FC"/>
    <w:pPr>
      <w:spacing w:line="241" w:lineRule="atLeast"/>
    </w:pPr>
    <w:rPr>
      <w:color w:val="auto"/>
    </w:rPr>
  </w:style>
  <w:style w:type="character" w:styleId="CommentReference">
    <w:name w:val="annotation reference"/>
    <w:basedOn w:val="DefaultParagraphFont"/>
    <w:uiPriority w:val="99"/>
    <w:semiHidden/>
    <w:unhideWhenUsed/>
    <w:rsid w:val="00EB3426"/>
    <w:rPr>
      <w:sz w:val="16"/>
      <w:szCs w:val="16"/>
    </w:rPr>
  </w:style>
  <w:style w:type="paragraph" w:styleId="CommentText">
    <w:name w:val="annotation text"/>
    <w:basedOn w:val="Normal"/>
    <w:link w:val="CommentTextChar"/>
    <w:uiPriority w:val="99"/>
    <w:semiHidden/>
    <w:unhideWhenUsed/>
    <w:rsid w:val="00EB3426"/>
    <w:rPr>
      <w:sz w:val="20"/>
      <w:szCs w:val="20"/>
    </w:rPr>
  </w:style>
  <w:style w:type="character" w:customStyle="1" w:styleId="CommentTextChar">
    <w:name w:val="Comment Text Char"/>
    <w:basedOn w:val="DefaultParagraphFont"/>
    <w:link w:val="CommentText"/>
    <w:uiPriority w:val="99"/>
    <w:semiHidden/>
    <w:rsid w:val="00EB3426"/>
    <w:rPr>
      <w:rFonts w:ascii="Times New Roman" w:eastAsia="Times New Roma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uiPriority w:val="99"/>
    <w:semiHidden/>
    <w:unhideWhenUsed/>
    <w:rsid w:val="00EB3426"/>
    <w:rPr>
      <w:b/>
      <w:bCs/>
    </w:rPr>
  </w:style>
  <w:style w:type="character" w:customStyle="1" w:styleId="CommentSubjectChar">
    <w:name w:val="Comment Subject Char"/>
    <w:basedOn w:val="CommentTextChar"/>
    <w:link w:val="CommentSubject"/>
    <w:uiPriority w:val="99"/>
    <w:semiHidden/>
    <w:rsid w:val="00EB3426"/>
    <w:rPr>
      <w:rFonts w:ascii="Times New Roman" w:eastAsia="Times New Roman" w:hAnsi="Times New Roman" w:cs="Times New Roman"/>
      <w:b/>
      <w:bCs/>
      <w:kern w:val="0"/>
      <w:sz w:val="20"/>
      <w:szCs w:val="20"/>
      <w:lang w:val="en-GB" w:eastAsia="en-US"/>
      <w14:ligatures w14:val="none"/>
    </w:rPr>
  </w:style>
  <w:style w:type="paragraph" w:styleId="Revision">
    <w:name w:val="Revision"/>
    <w:hidden/>
    <w:uiPriority w:val="99"/>
    <w:semiHidden/>
    <w:rsid w:val="00163356"/>
    <w:rPr>
      <w:rFonts w:ascii="Times New Roman" w:eastAsia="Times New Roman" w:hAnsi="Times New Roman" w:cs="Times New Roman"/>
      <w:kern w:val="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17112C-9D51-479B-B4AF-78FD1B1E6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F41AF-9CD8-407E-A0D1-5FEE5C0F911C}">
  <ds:schemaRefs>
    <ds:schemaRef ds:uri="http://schemas.microsoft.com/sharepoint/v3/contenttype/forms"/>
  </ds:schemaRefs>
</ds:datastoreItem>
</file>

<file path=customXml/itemProps3.xml><?xml version="1.0" encoding="utf-8"?>
<ds:datastoreItem xmlns:ds="http://schemas.openxmlformats.org/officeDocument/2006/customXml" ds:itemID="{396BA03C-35F1-4D9F-84EF-85F07AA8C978}">
  <ds:schemaRefs>
    <ds:schemaRef ds:uri="http://schemas.microsoft.com/office/infopath/2007/PartnerControls"/>
    <ds:schemaRef ds:uri="http://schemas.microsoft.com/office/2006/metadata/properties"/>
    <ds:schemaRef ds:uri="6911e96c-4cc4-42d5-8e43-f93924cf6a05"/>
    <ds:schemaRef ds:uri="http://purl.org/dc/elements/1.1/"/>
    <ds:schemaRef ds:uri="http://schemas.microsoft.com/office/2006/documentManagement/types"/>
    <ds:schemaRef ds:uri="9c8a2b7b-0bee-4c48-b0a6-23db8982d3bc"/>
    <ds:schemaRef ds:uri="cab52c9b-ab33-4221-8af9-54f8f2b86a80"/>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 Li</dc:creator>
  <cp:keywords/>
  <dc:description/>
  <cp:lastModifiedBy>Leah McLeod</cp:lastModifiedBy>
  <cp:revision>2</cp:revision>
  <dcterms:created xsi:type="dcterms:W3CDTF">2023-10-11T03:17:00Z</dcterms:created>
  <dcterms:modified xsi:type="dcterms:W3CDTF">2023-10-11T03:17:00Z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