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9B707C" w:rsidRDefault="009C374A" w:rsidP="00375B20">
      <w:pPr>
        <w:rPr>
          <w:rFonts w:ascii="Arial" w:hAnsi="Arial" w:cs="Arial"/>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9B707C" w14:paraId="3CA33060" w14:textId="77777777" w:rsidTr="72F24A2C">
        <w:tc>
          <w:tcPr>
            <w:tcW w:w="8640" w:type="dxa"/>
            <w:shd w:val="clear" w:color="auto" w:fill="F2F2F2" w:themeFill="background1" w:themeFillShade="F2"/>
          </w:tcPr>
          <w:p w14:paraId="2003E176" w14:textId="3978FCE5" w:rsidR="00C8423A" w:rsidRPr="009B707C" w:rsidRDefault="00817FB7" w:rsidP="00817FB7">
            <w:pPr>
              <w:jc w:val="both"/>
              <w:rPr>
                <w:rFonts w:ascii="Arial" w:hAnsi="Arial" w:cs="Arial"/>
                <w:i/>
                <w:iCs/>
                <w:sz w:val="22"/>
                <w:szCs w:val="22"/>
              </w:rPr>
            </w:pPr>
            <w:r w:rsidRPr="009B707C">
              <w:rPr>
                <w:rFonts w:ascii="Arial" w:hAnsi="Arial" w:cs="Arial"/>
                <w:i/>
                <w:iCs/>
                <w:sz w:val="22"/>
                <w:szCs w:val="22"/>
              </w:rPr>
              <w:t>Paper</w:t>
            </w:r>
          </w:p>
          <w:p w14:paraId="49D0BC38" w14:textId="1ED1F55A" w:rsidR="00C8423A" w:rsidRPr="009B707C" w:rsidRDefault="0495E6B1" w:rsidP="00817FB7">
            <w:pPr>
              <w:pStyle w:val="Heading1"/>
              <w:spacing w:before="0" w:after="0"/>
              <w:jc w:val="both"/>
              <w:rPr>
                <w:rFonts w:ascii="Arial" w:hAnsi="Arial" w:cs="Arial"/>
                <w:b/>
                <w:bCs/>
                <w:sz w:val="22"/>
                <w:szCs w:val="22"/>
                <w:lang w:val="en-US"/>
              </w:rPr>
            </w:pPr>
            <w:r w:rsidRPr="009B707C">
              <w:rPr>
                <w:rFonts w:ascii="Arial" w:hAnsi="Arial" w:cs="Arial"/>
                <w:b/>
                <w:bCs/>
                <w:color w:val="auto"/>
                <w:sz w:val="22"/>
                <w:szCs w:val="22"/>
                <w:lang w:val="en-US" w:eastAsia="zh-TW"/>
              </w:rPr>
              <w:t>Development of extension mechanisms to guide the livestock in facing climate change: evidence of agropastoral in Senegal</w:t>
            </w:r>
          </w:p>
          <w:p w14:paraId="3F7D1534" w14:textId="6584F651" w:rsidR="00C8423A" w:rsidRPr="009B707C" w:rsidRDefault="00C8423A" w:rsidP="00817FB7">
            <w:pPr>
              <w:tabs>
                <w:tab w:val="left" w:pos="3386"/>
              </w:tabs>
              <w:jc w:val="both"/>
              <w:rPr>
                <w:rFonts w:ascii="Arial" w:hAnsi="Arial" w:cs="Arial"/>
                <w:b/>
                <w:bCs/>
                <w:sz w:val="22"/>
                <w:szCs w:val="22"/>
              </w:rPr>
            </w:pPr>
          </w:p>
        </w:tc>
      </w:tr>
      <w:tr w:rsidR="00C8423A" w:rsidRPr="009B707C" w14:paraId="1A1C8C63" w14:textId="77777777" w:rsidTr="72F24A2C">
        <w:trPr>
          <w:trHeight w:val="3124"/>
        </w:trPr>
        <w:tc>
          <w:tcPr>
            <w:tcW w:w="8640" w:type="dxa"/>
          </w:tcPr>
          <w:p w14:paraId="40C8085B" w14:textId="77777777" w:rsidR="009B707C" w:rsidRPr="009B707C" w:rsidRDefault="009B707C" w:rsidP="00706DED">
            <w:pPr>
              <w:jc w:val="both"/>
              <w:rPr>
                <w:rFonts w:ascii="Arial" w:hAnsi="Arial" w:cs="Arial"/>
                <w:b/>
                <w:sz w:val="22"/>
                <w:szCs w:val="22"/>
              </w:rPr>
            </w:pPr>
          </w:p>
          <w:p w14:paraId="131A5F05" w14:textId="77777777" w:rsidR="0065012F" w:rsidRPr="009B707C" w:rsidRDefault="0065012F" w:rsidP="00706DED">
            <w:pPr>
              <w:jc w:val="both"/>
              <w:rPr>
                <w:rFonts w:ascii="Arial" w:hAnsi="Arial" w:cs="Arial"/>
                <w:b/>
                <w:sz w:val="22"/>
                <w:szCs w:val="22"/>
              </w:rPr>
            </w:pPr>
            <w:r w:rsidRPr="009B707C">
              <w:rPr>
                <w:rFonts w:ascii="Arial" w:hAnsi="Arial" w:cs="Arial"/>
                <w:b/>
                <w:bCs/>
                <w:sz w:val="22"/>
                <w:szCs w:val="22"/>
              </w:rPr>
              <w:t>Introduction</w:t>
            </w:r>
          </w:p>
          <w:p w14:paraId="1C858931" w14:textId="64F79592" w:rsidR="376218E9" w:rsidRPr="009B707C" w:rsidRDefault="376218E9" w:rsidP="72F24A2C">
            <w:pPr>
              <w:jc w:val="both"/>
              <w:rPr>
                <w:rFonts w:ascii="Arial" w:hAnsi="Arial" w:cs="Arial"/>
              </w:rPr>
            </w:pPr>
            <w:r w:rsidRPr="009B707C">
              <w:rPr>
                <w:rFonts w:ascii="Arial" w:eastAsia="Calibri" w:hAnsi="Arial" w:cs="Arial"/>
                <w:sz w:val="22"/>
                <w:szCs w:val="22"/>
                <w:lang w:val="en-US"/>
              </w:rPr>
              <w:t xml:space="preserve">Decision Support Tools (DST) in de-risking </w:t>
            </w:r>
            <w:proofErr w:type="spellStart"/>
            <w:r w:rsidRPr="009B707C">
              <w:rPr>
                <w:rFonts w:ascii="Arial" w:eastAsia="Calibri" w:hAnsi="Arial" w:cs="Arial"/>
                <w:sz w:val="22"/>
                <w:szCs w:val="22"/>
                <w:lang w:val="en-US"/>
              </w:rPr>
              <w:t>agrosylvopastoral</w:t>
            </w:r>
            <w:proofErr w:type="spellEnd"/>
            <w:r w:rsidRPr="009B707C">
              <w:rPr>
                <w:rFonts w:ascii="Arial" w:eastAsia="Calibri" w:hAnsi="Arial" w:cs="Arial"/>
                <w:sz w:val="22"/>
                <w:szCs w:val="22"/>
                <w:lang w:val="en-US"/>
              </w:rPr>
              <w:t xml:space="preserve"> systems include components </w:t>
            </w:r>
            <w:proofErr w:type="gramStart"/>
            <w:r w:rsidRPr="009B707C">
              <w:rPr>
                <w:rFonts w:ascii="Arial" w:eastAsia="Calibri" w:hAnsi="Arial" w:cs="Arial"/>
                <w:sz w:val="22"/>
                <w:szCs w:val="22"/>
                <w:lang w:val="en-US"/>
              </w:rPr>
              <w:t>engaging</w:t>
            </w:r>
            <w:proofErr w:type="gramEnd"/>
            <w:r w:rsidRPr="009B707C">
              <w:rPr>
                <w:rFonts w:ascii="Arial" w:eastAsia="Calibri" w:hAnsi="Arial" w:cs="Arial"/>
                <w:sz w:val="22"/>
                <w:szCs w:val="22"/>
                <w:lang w:val="en-US"/>
              </w:rPr>
              <w:t xml:space="preserve"> the use of crops, hydrological cycle and pasture models, index of health sensitivity, market forecasting tools, geographical data from remotely sensed imagery, and historical time and forecast series meteorological information. We combined these DSTs with human resource expertise and experienced this interoperability of information within a Community of Practice</w:t>
            </w:r>
            <w:r w:rsidR="4368ED3C" w:rsidRPr="009B707C">
              <w:rPr>
                <w:rFonts w:ascii="Arial" w:eastAsia="Calibri" w:hAnsi="Arial" w:cs="Arial"/>
                <w:sz w:val="22"/>
                <w:szCs w:val="22"/>
                <w:lang w:val="en-US"/>
              </w:rPr>
              <w:t xml:space="preserve"> (CoP)</w:t>
            </w:r>
            <w:r w:rsidRPr="009B707C">
              <w:rPr>
                <w:rFonts w:ascii="Arial" w:eastAsia="Calibri" w:hAnsi="Arial" w:cs="Arial"/>
                <w:sz w:val="22"/>
                <w:szCs w:val="22"/>
                <w:lang w:val="en-US"/>
              </w:rPr>
              <w:t xml:space="preserve"> made up of 14 institutions enabling +2,000 (</w:t>
            </w:r>
            <w:proofErr w:type="spellStart"/>
            <w:r w:rsidRPr="009B707C">
              <w:rPr>
                <w:rFonts w:ascii="Arial" w:eastAsia="Calibri" w:hAnsi="Arial" w:cs="Arial"/>
                <w:sz w:val="22"/>
                <w:szCs w:val="22"/>
                <w:lang w:val="en-US"/>
              </w:rPr>
              <w:t>agro</w:t>
            </w:r>
            <w:proofErr w:type="spellEnd"/>
            <w:r w:rsidRPr="009B707C">
              <w:rPr>
                <w:rFonts w:ascii="Arial" w:eastAsia="Calibri" w:hAnsi="Arial" w:cs="Arial"/>
                <w:sz w:val="22"/>
                <w:szCs w:val="22"/>
                <w:lang w:val="en-US"/>
              </w:rPr>
              <w:t xml:space="preserve">)pastors to get access to CIS/CSA and get them off from marginalization while triggering them for action or decision-making.  These institutions worked together to find innovative, relevant, and effective solutions for </w:t>
            </w:r>
            <w:proofErr w:type="spellStart"/>
            <w:r w:rsidRPr="009B707C">
              <w:rPr>
                <w:rFonts w:ascii="Arial" w:eastAsia="Calibri" w:hAnsi="Arial" w:cs="Arial"/>
                <w:sz w:val="22"/>
                <w:szCs w:val="22"/>
                <w:lang w:val="en-US"/>
              </w:rPr>
              <w:t>agro</w:t>
            </w:r>
            <w:proofErr w:type="spellEnd"/>
            <w:r w:rsidRPr="009B707C">
              <w:rPr>
                <w:rFonts w:ascii="Arial" w:eastAsia="Calibri" w:hAnsi="Arial" w:cs="Arial"/>
                <w:sz w:val="22"/>
                <w:szCs w:val="22"/>
                <w:lang w:val="en-US"/>
              </w:rPr>
              <w:t xml:space="preserve">-pastoralists, using appropriate communication channels (IVR messages through mobile phones).  </w:t>
            </w:r>
          </w:p>
          <w:p w14:paraId="4806BFDB" w14:textId="77777777" w:rsidR="0065012F" w:rsidRPr="009B707C" w:rsidRDefault="0065012F" w:rsidP="00706DED">
            <w:pPr>
              <w:jc w:val="both"/>
              <w:rPr>
                <w:rFonts w:ascii="Arial" w:hAnsi="Arial" w:cs="Arial"/>
                <w:b/>
                <w:sz w:val="22"/>
                <w:szCs w:val="22"/>
              </w:rPr>
            </w:pPr>
          </w:p>
          <w:p w14:paraId="5DE13B32" w14:textId="77777777" w:rsidR="0065012F" w:rsidRPr="009B707C" w:rsidRDefault="0065012F" w:rsidP="00706DED">
            <w:pPr>
              <w:jc w:val="both"/>
              <w:rPr>
                <w:rFonts w:ascii="Arial" w:hAnsi="Arial" w:cs="Arial"/>
                <w:b/>
                <w:sz w:val="22"/>
                <w:szCs w:val="22"/>
              </w:rPr>
            </w:pPr>
            <w:r w:rsidRPr="009B707C">
              <w:rPr>
                <w:rFonts w:ascii="Arial" w:hAnsi="Arial" w:cs="Arial"/>
                <w:b/>
                <w:bCs/>
                <w:sz w:val="22"/>
                <w:szCs w:val="22"/>
              </w:rPr>
              <w:t>Objectives</w:t>
            </w:r>
          </w:p>
          <w:p w14:paraId="14A9002F" w14:textId="23D934BC" w:rsidR="0065012F" w:rsidRPr="009B707C" w:rsidRDefault="0065012F" w:rsidP="72F24A2C">
            <w:pPr>
              <w:jc w:val="both"/>
              <w:rPr>
                <w:rFonts w:ascii="Arial" w:hAnsi="Arial" w:cs="Arial"/>
                <w:b/>
                <w:bCs/>
                <w:sz w:val="22"/>
                <w:szCs w:val="22"/>
              </w:rPr>
            </w:pPr>
          </w:p>
          <w:p w14:paraId="574375A9" w14:textId="04E6EBC1" w:rsidR="0065012F" w:rsidRPr="009B707C" w:rsidRDefault="79BAA5C8" w:rsidP="72F24A2C">
            <w:pPr>
              <w:jc w:val="both"/>
              <w:rPr>
                <w:rFonts w:ascii="Arial" w:eastAsiaTheme="minorEastAsia" w:hAnsi="Arial" w:cs="Arial"/>
                <w:sz w:val="22"/>
                <w:szCs w:val="22"/>
                <w:lang w:val="en-CA" w:eastAsia="zh-TW"/>
              </w:rPr>
            </w:pPr>
            <w:r w:rsidRPr="009B707C">
              <w:rPr>
                <w:rFonts w:ascii="Arial" w:eastAsiaTheme="minorEastAsia" w:hAnsi="Arial" w:cs="Arial"/>
                <w:sz w:val="22"/>
                <w:szCs w:val="22"/>
                <w:lang w:val="en-CA" w:eastAsia="zh-TW"/>
              </w:rPr>
              <w:t xml:space="preserve">This paper analyzes the types of decisions made by CoP </w:t>
            </w:r>
            <w:proofErr w:type="spellStart"/>
            <w:r w:rsidRPr="009B707C">
              <w:rPr>
                <w:rFonts w:ascii="Arial" w:eastAsiaTheme="minorEastAsia" w:hAnsi="Arial" w:cs="Arial"/>
                <w:sz w:val="22"/>
                <w:szCs w:val="22"/>
                <w:lang w:val="en-CA" w:eastAsia="zh-TW"/>
              </w:rPr>
              <w:t>agro</w:t>
            </w:r>
            <w:proofErr w:type="spellEnd"/>
            <w:r w:rsidRPr="009B707C">
              <w:rPr>
                <w:rFonts w:ascii="Arial" w:eastAsiaTheme="minorEastAsia" w:hAnsi="Arial" w:cs="Arial"/>
                <w:sz w:val="22"/>
                <w:szCs w:val="22"/>
                <w:lang w:val="en-CA" w:eastAsia="zh-TW"/>
              </w:rPr>
              <w:t>-advisories users (</w:t>
            </w:r>
            <w:proofErr w:type="spellStart"/>
            <w:r w:rsidRPr="009B707C">
              <w:rPr>
                <w:rFonts w:ascii="Arial" w:eastAsiaTheme="minorEastAsia" w:hAnsi="Arial" w:cs="Arial"/>
                <w:sz w:val="22"/>
                <w:szCs w:val="22"/>
                <w:lang w:val="en-CA" w:eastAsia="zh-TW"/>
              </w:rPr>
              <w:t>agro</w:t>
            </w:r>
            <w:proofErr w:type="spellEnd"/>
            <w:r w:rsidR="14353805" w:rsidRPr="009B707C">
              <w:rPr>
                <w:rFonts w:ascii="Arial" w:eastAsiaTheme="minorEastAsia" w:hAnsi="Arial" w:cs="Arial"/>
                <w:sz w:val="22"/>
                <w:szCs w:val="22"/>
                <w:lang w:val="en-CA" w:eastAsia="zh-TW"/>
              </w:rPr>
              <w:t>-</w:t>
            </w:r>
            <w:r w:rsidRPr="009B707C">
              <w:rPr>
                <w:rFonts w:ascii="Arial" w:eastAsiaTheme="minorEastAsia" w:hAnsi="Arial" w:cs="Arial"/>
                <w:sz w:val="22"/>
                <w:szCs w:val="22"/>
                <w:lang w:val="en-CA" w:eastAsia="zh-TW"/>
              </w:rPr>
              <w:t>pastoralists)</w:t>
            </w:r>
            <w:r w:rsidR="2D263825" w:rsidRPr="009B707C">
              <w:rPr>
                <w:rFonts w:ascii="Arial" w:eastAsiaTheme="minorEastAsia" w:hAnsi="Arial" w:cs="Arial"/>
                <w:sz w:val="22"/>
                <w:szCs w:val="22"/>
                <w:lang w:val="en-CA" w:eastAsia="zh-TW"/>
              </w:rPr>
              <w:t xml:space="preserve"> and the influence of digital climate advisories on the knowledge, attitudes, and practices (KAP) related to climate-smart livestock practices among pastoralists and </w:t>
            </w:r>
            <w:proofErr w:type="spellStart"/>
            <w:r w:rsidR="2D263825" w:rsidRPr="009B707C">
              <w:rPr>
                <w:rFonts w:ascii="Arial" w:eastAsiaTheme="minorEastAsia" w:hAnsi="Arial" w:cs="Arial"/>
                <w:sz w:val="22"/>
                <w:szCs w:val="22"/>
                <w:lang w:val="en-CA" w:eastAsia="zh-TW"/>
              </w:rPr>
              <w:t>agro</w:t>
            </w:r>
            <w:proofErr w:type="spellEnd"/>
            <w:r w:rsidR="2D263825" w:rsidRPr="009B707C">
              <w:rPr>
                <w:rFonts w:ascii="Arial" w:eastAsiaTheme="minorEastAsia" w:hAnsi="Arial" w:cs="Arial"/>
                <w:sz w:val="22"/>
                <w:szCs w:val="22"/>
                <w:lang w:val="en-CA" w:eastAsia="zh-TW"/>
              </w:rPr>
              <w:t>-pastoralists in Senegal</w:t>
            </w:r>
          </w:p>
          <w:p w14:paraId="41BE23D7" w14:textId="39EA84AD" w:rsidR="0065012F" w:rsidRPr="009B707C" w:rsidRDefault="0065012F" w:rsidP="72F24A2C">
            <w:pPr>
              <w:jc w:val="both"/>
              <w:rPr>
                <w:rFonts w:ascii="Arial" w:hAnsi="Arial" w:cs="Arial"/>
                <w:b/>
                <w:bCs/>
                <w:sz w:val="22"/>
                <w:szCs w:val="22"/>
              </w:rPr>
            </w:pPr>
          </w:p>
          <w:p w14:paraId="457D2D05" w14:textId="4C88EF53" w:rsidR="0065012F" w:rsidRPr="009B707C" w:rsidRDefault="00906B39" w:rsidP="72F24A2C">
            <w:pPr>
              <w:jc w:val="both"/>
              <w:rPr>
                <w:rFonts w:ascii="Arial" w:hAnsi="Arial" w:cs="Arial"/>
                <w:b/>
                <w:bCs/>
                <w:sz w:val="22"/>
                <w:szCs w:val="22"/>
              </w:rPr>
            </w:pPr>
            <w:r w:rsidRPr="009B707C">
              <w:rPr>
                <w:rFonts w:ascii="Arial" w:hAnsi="Arial" w:cs="Arial"/>
                <w:b/>
                <w:bCs/>
                <w:sz w:val="22"/>
                <w:szCs w:val="22"/>
              </w:rPr>
              <w:t>Methodology</w:t>
            </w:r>
          </w:p>
          <w:p w14:paraId="44FE49BA" w14:textId="3376079B" w:rsidR="72F24A2C" w:rsidRPr="009B707C" w:rsidRDefault="72F24A2C" w:rsidP="72F24A2C">
            <w:pPr>
              <w:jc w:val="both"/>
              <w:rPr>
                <w:rFonts w:ascii="Arial" w:hAnsi="Arial" w:cs="Arial"/>
                <w:b/>
                <w:bCs/>
                <w:sz w:val="22"/>
                <w:szCs w:val="22"/>
              </w:rPr>
            </w:pPr>
          </w:p>
          <w:p w14:paraId="4ED66EE4" w14:textId="2B7F8DBE" w:rsidR="13C801F6" w:rsidRPr="009B707C" w:rsidRDefault="13C801F6" w:rsidP="72F24A2C">
            <w:pPr>
              <w:jc w:val="both"/>
              <w:rPr>
                <w:rFonts w:ascii="Arial" w:eastAsiaTheme="minorEastAsia" w:hAnsi="Arial" w:cs="Arial"/>
                <w:sz w:val="22"/>
                <w:szCs w:val="22"/>
                <w:lang w:val="en-CA" w:eastAsia="zh-TW"/>
              </w:rPr>
            </w:pPr>
            <w:r w:rsidRPr="009B707C">
              <w:rPr>
                <w:rFonts w:ascii="Arial" w:eastAsiaTheme="minorEastAsia" w:hAnsi="Arial" w:cs="Arial"/>
                <w:sz w:val="22"/>
                <w:szCs w:val="22"/>
                <w:lang w:val="en-US" w:eastAsia="zh-TW"/>
              </w:rPr>
              <w:t>A</w:t>
            </w:r>
            <w:r w:rsidR="587EA76D" w:rsidRPr="009B707C">
              <w:rPr>
                <w:rFonts w:ascii="Arial" w:eastAsiaTheme="minorEastAsia" w:hAnsi="Arial" w:cs="Arial"/>
                <w:sz w:val="22"/>
                <w:szCs w:val="22"/>
                <w:lang w:val="en-US" w:eastAsia="zh-TW"/>
              </w:rPr>
              <w:t xml:space="preserve"> cohort of 800 livestock farmers were surveyed as beneficiaries and no beneficiaries' breeders</w:t>
            </w:r>
            <w:r w:rsidR="2558D5E6" w:rsidRPr="009B707C">
              <w:rPr>
                <w:rFonts w:ascii="Arial" w:eastAsiaTheme="minorEastAsia" w:hAnsi="Arial" w:cs="Arial"/>
                <w:sz w:val="22"/>
                <w:szCs w:val="22"/>
                <w:lang w:val="en-US" w:eastAsia="zh-TW"/>
              </w:rPr>
              <w:t xml:space="preserve"> </w:t>
            </w:r>
            <w:r w:rsidR="674759C0" w:rsidRPr="009B707C">
              <w:rPr>
                <w:rFonts w:ascii="Arial" w:eastAsiaTheme="minorEastAsia" w:hAnsi="Arial" w:cs="Arial"/>
                <w:sz w:val="22"/>
                <w:szCs w:val="22"/>
                <w:lang w:val="en-US" w:eastAsia="zh-TW"/>
              </w:rPr>
              <w:t xml:space="preserve">in the </w:t>
            </w:r>
            <w:proofErr w:type="spellStart"/>
            <w:r w:rsidR="674759C0" w:rsidRPr="009B707C">
              <w:rPr>
                <w:rFonts w:ascii="Arial" w:eastAsiaTheme="minorEastAsia" w:hAnsi="Arial" w:cs="Arial"/>
                <w:sz w:val="22"/>
                <w:szCs w:val="22"/>
                <w:lang w:val="en-US" w:eastAsia="zh-TW"/>
              </w:rPr>
              <w:t>Louga</w:t>
            </w:r>
            <w:proofErr w:type="spellEnd"/>
            <w:r w:rsidR="674759C0" w:rsidRPr="009B707C">
              <w:rPr>
                <w:rFonts w:ascii="Arial" w:eastAsiaTheme="minorEastAsia" w:hAnsi="Arial" w:cs="Arial"/>
                <w:sz w:val="22"/>
                <w:szCs w:val="22"/>
                <w:lang w:val="en-US" w:eastAsia="zh-TW"/>
              </w:rPr>
              <w:t xml:space="preserve"> region</w:t>
            </w:r>
            <w:r w:rsidR="564F2632" w:rsidRPr="009B707C">
              <w:rPr>
                <w:rFonts w:ascii="Arial" w:eastAsiaTheme="minorEastAsia" w:hAnsi="Arial" w:cs="Arial"/>
                <w:sz w:val="22"/>
                <w:szCs w:val="22"/>
                <w:lang w:val="en-CA" w:eastAsia="zh-TW"/>
              </w:rPr>
              <w:t xml:space="preserve">. </w:t>
            </w:r>
            <w:r w:rsidR="43E7AC01" w:rsidRPr="009B707C">
              <w:rPr>
                <w:rFonts w:ascii="Arial" w:eastAsiaTheme="minorEastAsia" w:hAnsi="Arial" w:cs="Arial"/>
                <w:sz w:val="22"/>
                <w:szCs w:val="22"/>
                <w:lang w:val="en-CA" w:eastAsia="zh-TW"/>
              </w:rPr>
              <w:t>Data were analyzed using descriptive statistics.</w:t>
            </w:r>
          </w:p>
          <w:p w14:paraId="5E1AEB1D" w14:textId="75D9C871" w:rsidR="72F24A2C" w:rsidRPr="009B707C" w:rsidRDefault="72F24A2C" w:rsidP="72F24A2C">
            <w:pPr>
              <w:jc w:val="both"/>
              <w:rPr>
                <w:rFonts w:ascii="Arial" w:eastAsiaTheme="minorEastAsia" w:hAnsi="Arial" w:cs="Arial"/>
                <w:sz w:val="22"/>
                <w:szCs w:val="22"/>
                <w:lang w:val="en-CA" w:eastAsia="zh-TW"/>
              </w:rPr>
            </w:pPr>
          </w:p>
          <w:p w14:paraId="62DAA8AE" w14:textId="77777777" w:rsidR="0065012F" w:rsidRPr="009B707C" w:rsidRDefault="0065012F" w:rsidP="00706DED">
            <w:pPr>
              <w:jc w:val="both"/>
              <w:rPr>
                <w:rFonts w:ascii="Arial" w:hAnsi="Arial" w:cs="Arial"/>
                <w:b/>
                <w:sz w:val="22"/>
                <w:szCs w:val="22"/>
              </w:rPr>
            </w:pPr>
            <w:r w:rsidRPr="009B707C">
              <w:rPr>
                <w:rFonts w:ascii="Arial" w:hAnsi="Arial" w:cs="Arial"/>
                <w:b/>
                <w:bCs/>
                <w:sz w:val="22"/>
                <w:szCs w:val="22"/>
              </w:rPr>
              <w:t>Findings</w:t>
            </w:r>
          </w:p>
          <w:p w14:paraId="26DC99F1" w14:textId="3293698E" w:rsidR="0065012F" w:rsidRPr="009B707C" w:rsidRDefault="42228D0B" w:rsidP="72F24A2C">
            <w:pPr>
              <w:pStyle w:val="Heading1"/>
              <w:spacing w:before="240" w:after="0"/>
              <w:jc w:val="both"/>
              <w:rPr>
                <w:rFonts w:ascii="Arial" w:hAnsi="Arial" w:cs="Arial"/>
                <w:color w:val="auto"/>
                <w:sz w:val="22"/>
                <w:szCs w:val="22"/>
                <w:lang w:val="en-US" w:eastAsia="zh-TW"/>
              </w:rPr>
            </w:pPr>
            <w:r w:rsidRPr="009B707C">
              <w:rPr>
                <w:rFonts w:ascii="Arial" w:eastAsia="Calibri" w:hAnsi="Arial" w:cs="Arial"/>
                <w:color w:val="A5A5A5" w:themeColor="accent3"/>
                <w:sz w:val="22"/>
                <w:szCs w:val="22"/>
                <w:lang w:val="en-US"/>
              </w:rPr>
              <w:t>I</w:t>
            </w:r>
            <w:r w:rsidRPr="009B707C">
              <w:rPr>
                <w:rFonts w:ascii="Arial" w:hAnsi="Arial" w:cs="Arial"/>
                <w:color w:val="auto"/>
                <w:sz w:val="22"/>
                <w:szCs w:val="22"/>
                <w:lang w:val="en-US" w:eastAsia="zh-TW"/>
              </w:rPr>
              <w:t>t has been perceived that IVR messages equipped (</w:t>
            </w:r>
            <w:proofErr w:type="spellStart"/>
            <w:r w:rsidRPr="009B707C">
              <w:rPr>
                <w:rFonts w:ascii="Arial" w:hAnsi="Arial" w:cs="Arial"/>
                <w:color w:val="auto"/>
                <w:sz w:val="22"/>
                <w:szCs w:val="22"/>
                <w:lang w:val="en-US" w:eastAsia="zh-TW"/>
              </w:rPr>
              <w:t>agro</w:t>
            </w:r>
            <w:proofErr w:type="spellEnd"/>
            <w:r w:rsidRPr="009B707C">
              <w:rPr>
                <w:rFonts w:ascii="Arial" w:hAnsi="Arial" w:cs="Arial"/>
                <w:color w:val="auto"/>
                <w:sz w:val="22"/>
                <w:szCs w:val="22"/>
                <w:lang w:val="en-US" w:eastAsia="zh-TW"/>
              </w:rPr>
              <w:t xml:space="preserve">)pastors with the proper knowledge to influence their attitudes and practices on topics such as timing for access to boreholes and ponds, feed formulation, range of pre-season planning activities in forage crops production, and the timing to transhumance. These changes have the potential to improve dairy and meat production and social cohesion.  This assessment shows that: a. IVR messages sent to </w:t>
            </w:r>
            <w:proofErr w:type="spellStart"/>
            <w:r w:rsidRPr="009B707C">
              <w:rPr>
                <w:rFonts w:ascii="Arial" w:hAnsi="Arial" w:cs="Arial"/>
                <w:color w:val="auto"/>
                <w:sz w:val="22"/>
                <w:szCs w:val="22"/>
                <w:lang w:val="en-US" w:eastAsia="zh-TW"/>
              </w:rPr>
              <w:t>agro</w:t>
            </w:r>
            <w:proofErr w:type="spellEnd"/>
            <w:r w:rsidRPr="009B707C">
              <w:rPr>
                <w:rFonts w:ascii="Arial" w:hAnsi="Arial" w:cs="Arial"/>
                <w:color w:val="auto"/>
                <w:sz w:val="22"/>
                <w:szCs w:val="22"/>
                <w:lang w:val="en-US" w:eastAsia="zh-TW"/>
              </w:rPr>
              <w:t xml:space="preserve">(pastors) in pre-intervention to post-intervention increase understanding of beneficiary's climate-smart livestock practices, b. there is a significant change of 50% in farmers’ attitudes as compared to breeders who have not received IVR messages, c. 95% of breeders who received IVR said that the messages were simple, timely, and understandable. The content of the messages addressed gender sensitivity and was also actionable. Breeders used to share messages with their peers (12 to 19 people) and their willingness to adopt or to pay is $ 2 US per month for climate advisory services with market information and substantially higher (+$1,5US) for integration of Indigenous knowledge, forecasts, and pastoral resource. </w:t>
            </w:r>
          </w:p>
          <w:p w14:paraId="66AAEC06" w14:textId="77777777" w:rsidR="009B707C" w:rsidRDefault="009B707C" w:rsidP="009B707C">
            <w:pPr>
              <w:rPr>
                <w:rFonts w:ascii="Arial" w:eastAsia="Calibri" w:hAnsi="Arial" w:cs="Arial"/>
                <w:lang w:val="en-US"/>
              </w:rPr>
            </w:pPr>
          </w:p>
          <w:p w14:paraId="696ED54E" w14:textId="77777777" w:rsidR="009B707C" w:rsidRDefault="009B707C" w:rsidP="009B707C">
            <w:pPr>
              <w:rPr>
                <w:rFonts w:ascii="Arial" w:eastAsia="Calibri" w:hAnsi="Arial" w:cs="Arial"/>
                <w:lang w:val="en-US"/>
              </w:rPr>
            </w:pPr>
          </w:p>
          <w:p w14:paraId="1F553CC9" w14:textId="77777777" w:rsidR="009B707C" w:rsidRPr="009B707C" w:rsidRDefault="009B707C" w:rsidP="009B707C">
            <w:pPr>
              <w:rPr>
                <w:rFonts w:ascii="Arial" w:eastAsia="Calibri" w:hAnsi="Arial" w:cs="Arial"/>
                <w:lang w:val="en-US"/>
              </w:rPr>
            </w:pPr>
          </w:p>
          <w:p w14:paraId="261EC656" w14:textId="2669F05C" w:rsidR="00C8423A" w:rsidRPr="009B707C" w:rsidRDefault="0065012F" w:rsidP="00706DED">
            <w:pPr>
              <w:jc w:val="both"/>
              <w:rPr>
                <w:rFonts w:ascii="Arial" w:hAnsi="Arial" w:cs="Arial"/>
                <w:b/>
                <w:sz w:val="22"/>
                <w:szCs w:val="22"/>
              </w:rPr>
            </w:pPr>
            <w:r w:rsidRPr="009B707C">
              <w:rPr>
                <w:rFonts w:ascii="Arial" w:hAnsi="Arial" w:cs="Arial"/>
                <w:b/>
                <w:bCs/>
                <w:sz w:val="22"/>
                <w:szCs w:val="22"/>
              </w:rPr>
              <w:lastRenderedPageBreak/>
              <w:t xml:space="preserve">Significance of the work for policy and practice </w:t>
            </w:r>
          </w:p>
          <w:p w14:paraId="6C5F022B" w14:textId="450677AE" w:rsidR="00BE58D6" w:rsidRPr="009B707C" w:rsidRDefault="1FECCABB" w:rsidP="72F24A2C">
            <w:pPr>
              <w:pStyle w:val="Heading1"/>
              <w:spacing w:before="240" w:after="0"/>
              <w:jc w:val="both"/>
              <w:rPr>
                <w:rFonts w:ascii="Arial" w:hAnsi="Arial" w:cs="Arial"/>
                <w:color w:val="auto"/>
                <w:sz w:val="22"/>
                <w:szCs w:val="22"/>
                <w:lang w:val="en-US" w:eastAsia="zh-TW"/>
              </w:rPr>
            </w:pPr>
            <w:r w:rsidRPr="009B707C">
              <w:rPr>
                <w:rFonts w:ascii="Arial" w:hAnsi="Arial" w:cs="Arial"/>
                <w:color w:val="auto"/>
                <w:sz w:val="22"/>
                <w:szCs w:val="22"/>
                <w:lang w:val="en-US" w:eastAsia="zh-TW"/>
              </w:rPr>
              <w:t>The findings underscore the effectiveness of CIS in facilitating behavioral change and highlight the need for broader dissemination to enhance adaptation across diverse farming communities. Moreover, innovative communication techniques (IVR) avoid barriers such as internet network penetration, while creating previously unheard-of possibilities for reimagining agriculture advisory services and distributing information to (</w:t>
            </w:r>
            <w:proofErr w:type="spellStart"/>
            <w:r w:rsidRPr="009B707C">
              <w:rPr>
                <w:rFonts w:ascii="Arial" w:hAnsi="Arial" w:cs="Arial"/>
                <w:color w:val="auto"/>
                <w:sz w:val="22"/>
                <w:szCs w:val="22"/>
                <w:lang w:val="en-US" w:eastAsia="zh-TW"/>
              </w:rPr>
              <w:t>agro</w:t>
            </w:r>
            <w:proofErr w:type="spellEnd"/>
            <w:r w:rsidRPr="009B707C">
              <w:rPr>
                <w:rFonts w:ascii="Arial" w:hAnsi="Arial" w:cs="Arial"/>
                <w:color w:val="auto"/>
                <w:sz w:val="22"/>
                <w:szCs w:val="22"/>
                <w:lang w:val="en-US" w:eastAsia="zh-TW"/>
              </w:rPr>
              <w:t>)pastors via digital channels.</w:t>
            </w:r>
          </w:p>
          <w:p w14:paraId="43CB2428" w14:textId="7287CE21" w:rsidR="00BE58D6" w:rsidRPr="009B707C" w:rsidRDefault="00BE58D6" w:rsidP="72F24A2C">
            <w:pPr>
              <w:jc w:val="both"/>
              <w:rPr>
                <w:rFonts w:ascii="Arial" w:hAnsi="Arial" w:cs="Arial"/>
                <w:b/>
                <w:bCs/>
                <w:sz w:val="22"/>
                <w:szCs w:val="22"/>
              </w:rPr>
            </w:pPr>
          </w:p>
          <w:p w14:paraId="39AA1BB4" w14:textId="77777777" w:rsidR="00BE58D6" w:rsidRPr="009B707C" w:rsidRDefault="00BE58D6" w:rsidP="00706DED">
            <w:pPr>
              <w:jc w:val="both"/>
              <w:rPr>
                <w:rFonts w:ascii="Arial" w:hAnsi="Arial" w:cs="Arial"/>
                <w:b/>
                <w:sz w:val="22"/>
                <w:szCs w:val="22"/>
              </w:rPr>
            </w:pPr>
          </w:p>
          <w:p w14:paraId="2CBAECD6" w14:textId="729DADBB" w:rsidR="009F4EA0" w:rsidRPr="009B707C" w:rsidRDefault="009F4EA0" w:rsidP="00706DED">
            <w:pPr>
              <w:jc w:val="both"/>
              <w:rPr>
                <w:rFonts w:ascii="Arial" w:hAnsi="Arial" w:cs="Arial"/>
                <w:b/>
                <w:sz w:val="22"/>
                <w:szCs w:val="22"/>
              </w:rPr>
            </w:pPr>
          </w:p>
        </w:tc>
      </w:tr>
    </w:tbl>
    <w:p w14:paraId="14FC3BE1" w14:textId="1ED2D544" w:rsidR="00C8423A" w:rsidRPr="009B707C" w:rsidRDefault="00C8423A" w:rsidP="00375B20">
      <w:pPr>
        <w:tabs>
          <w:tab w:val="left" w:pos="8931"/>
        </w:tabs>
        <w:rPr>
          <w:rFonts w:ascii="Arial" w:hAnsi="Arial" w:cs="Arial"/>
        </w:rPr>
      </w:pPr>
    </w:p>
    <w:p w14:paraId="15AC9FEF" w14:textId="15B67474" w:rsidR="009010B0" w:rsidRPr="009B707C" w:rsidRDefault="009010B0" w:rsidP="00247C60">
      <w:pPr>
        <w:rPr>
          <w:rFonts w:ascii="Arial" w:hAnsi="Arial" w:cs="Arial"/>
        </w:rPr>
      </w:pPr>
    </w:p>
    <w:sectPr w:rsidR="009010B0" w:rsidRPr="009B707C"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8517D"/>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17FB7"/>
    <w:rsid w:val="008235E8"/>
    <w:rsid w:val="008773DF"/>
    <w:rsid w:val="008B01BA"/>
    <w:rsid w:val="008B50A0"/>
    <w:rsid w:val="008C0C35"/>
    <w:rsid w:val="008C22AD"/>
    <w:rsid w:val="008C2633"/>
    <w:rsid w:val="008E3D8D"/>
    <w:rsid w:val="008F2F93"/>
    <w:rsid w:val="009010B0"/>
    <w:rsid w:val="00906B39"/>
    <w:rsid w:val="00963443"/>
    <w:rsid w:val="009B707C"/>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 w:val="0132FCB5"/>
    <w:rsid w:val="0495E6B1"/>
    <w:rsid w:val="095AB05B"/>
    <w:rsid w:val="0B7C887E"/>
    <w:rsid w:val="0ED5BCE6"/>
    <w:rsid w:val="1102E052"/>
    <w:rsid w:val="115E22DE"/>
    <w:rsid w:val="13B283CC"/>
    <w:rsid w:val="13C801F6"/>
    <w:rsid w:val="14353805"/>
    <w:rsid w:val="151036ED"/>
    <w:rsid w:val="1A4DB0A7"/>
    <w:rsid w:val="1FECCABB"/>
    <w:rsid w:val="23D0EF24"/>
    <w:rsid w:val="2419072A"/>
    <w:rsid w:val="2558D5E6"/>
    <w:rsid w:val="26E08293"/>
    <w:rsid w:val="2AE2BBE0"/>
    <w:rsid w:val="2D263825"/>
    <w:rsid w:val="2FE020A4"/>
    <w:rsid w:val="3411880E"/>
    <w:rsid w:val="349069CC"/>
    <w:rsid w:val="34983293"/>
    <w:rsid w:val="376218E9"/>
    <w:rsid w:val="42228D0B"/>
    <w:rsid w:val="4368ED3C"/>
    <w:rsid w:val="43E7AC01"/>
    <w:rsid w:val="4865EABB"/>
    <w:rsid w:val="4C3237C7"/>
    <w:rsid w:val="4F102D77"/>
    <w:rsid w:val="54CCF801"/>
    <w:rsid w:val="54E63530"/>
    <w:rsid w:val="564F2632"/>
    <w:rsid w:val="57F79B86"/>
    <w:rsid w:val="587EA76D"/>
    <w:rsid w:val="5A7C86F5"/>
    <w:rsid w:val="61DB78DC"/>
    <w:rsid w:val="63CCBA8C"/>
    <w:rsid w:val="669ED3B6"/>
    <w:rsid w:val="674759C0"/>
    <w:rsid w:val="6C8884A0"/>
    <w:rsid w:val="6D9F7BFB"/>
    <w:rsid w:val="6E11F251"/>
    <w:rsid w:val="70FC55FA"/>
    <w:rsid w:val="72F24A2C"/>
    <w:rsid w:val="7357A2B3"/>
    <w:rsid w:val="77B9BC61"/>
    <w:rsid w:val="79BAA5C8"/>
    <w:rsid w:val="7DB69FBD"/>
    <w:rsid w:val="7E234A01"/>
    <w:rsid w:val="7E499E5D"/>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2F24A2C"/>
    <w:pPr>
      <w:keepNext/>
      <w:keepLines/>
      <w:spacing w:before="360" w:after="80"/>
      <w:outlineLvl w:val="0"/>
    </w:pPr>
    <w:rPr>
      <w:rFonts w:asciiTheme="majorHAnsi" w:hAnsiTheme="majorHAnsi" w:cstheme="majorEastAsia"/>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purl.org/dc/elements/1.1/"/>
    <ds:schemaRef ds:uri="9c8a2b7b-0bee-4c48-b0a6-23db8982d3bc"/>
    <ds:schemaRef ds:uri="http://purl.org/dc/dcmitype/"/>
    <ds:schemaRef ds:uri="cab52c9b-ab33-4221-8af9-54f8f2b86a80"/>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A6D7205-5BF9-4C1F-9B58-053A003DD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2024-09-16T20:56:00Z</dcterms:created>
  <dcterms:modified xsi:type="dcterms:W3CDTF">2025-08-14T04:06:00Z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