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4C9C" w14:textId="77777777" w:rsidR="00EC3495" w:rsidRPr="00EC3495" w:rsidRDefault="00EC3495" w:rsidP="00375B20">
      <w:pPr>
        <w:rPr>
          <w:b/>
          <w:bCs/>
          <w:lang w:val="en-US"/>
        </w:rPr>
      </w:pPr>
    </w:p>
    <w:tbl>
      <w:tblPr>
        <w:tblStyle w:val="TableGrid"/>
        <w:tblW w:w="8640" w:type="dxa"/>
        <w:tblInd w:w="108" w:type="dxa"/>
        <w:tblLayout w:type="fixed"/>
        <w:tblLook w:val="01E0" w:firstRow="1" w:lastRow="1" w:firstColumn="1" w:lastColumn="1" w:noHBand="0" w:noVBand="0"/>
      </w:tblPr>
      <w:tblGrid>
        <w:gridCol w:w="8640"/>
      </w:tblGrid>
      <w:tr w:rsidR="0046523A" w:rsidRPr="0046523A" w14:paraId="3CA33060" w14:textId="77777777" w:rsidTr="72E16C6E">
        <w:tc>
          <w:tcPr>
            <w:tcW w:w="8640" w:type="dxa"/>
            <w:shd w:val="clear" w:color="auto" w:fill="F2F2F2" w:themeFill="background1" w:themeFillShade="F2"/>
          </w:tcPr>
          <w:p w14:paraId="4FED29D5" w14:textId="083D3AC3" w:rsidR="00C8423A" w:rsidRPr="002E0062" w:rsidRDefault="002E0062" w:rsidP="001044C1">
            <w:pPr>
              <w:jc w:val="both"/>
              <w:rPr>
                <w:rFonts w:ascii="Arial" w:hAnsi="Arial" w:cs="Arial"/>
                <w:bCs/>
                <w:i/>
                <w:iCs/>
                <w:sz w:val="22"/>
                <w:szCs w:val="22"/>
              </w:rPr>
            </w:pPr>
            <w:r w:rsidRPr="002E0062">
              <w:rPr>
                <w:rFonts w:ascii="Arial" w:hAnsi="Arial" w:cs="Arial"/>
                <w:bCs/>
                <w:i/>
                <w:iCs/>
                <w:sz w:val="22"/>
                <w:szCs w:val="22"/>
              </w:rPr>
              <w:t>Paper</w:t>
            </w:r>
          </w:p>
          <w:p w14:paraId="47C743C8" w14:textId="77777777" w:rsidR="00C8423A" w:rsidRPr="0046523A" w:rsidRDefault="00D5079D" w:rsidP="0065012F">
            <w:pPr>
              <w:tabs>
                <w:tab w:val="left" w:pos="3386"/>
              </w:tabs>
              <w:jc w:val="both"/>
              <w:rPr>
                <w:rFonts w:ascii="Arial" w:hAnsi="Arial" w:cs="Arial"/>
                <w:b/>
                <w:bCs/>
                <w:sz w:val="22"/>
                <w:szCs w:val="22"/>
              </w:rPr>
            </w:pPr>
            <w:r w:rsidRPr="0046523A">
              <w:rPr>
                <w:rFonts w:ascii="Arial" w:hAnsi="Arial" w:cs="Arial"/>
                <w:b/>
                <w:bCs/>
                <w:sz w:val="22"/>
                <w:szCs w:val="22"/>
              </w:rPr>
              <w:t>Forests’ contributions to the Global Goal on Adaptation</w:t>
            </w:r>
          </w:p>
          <w:p w14:paraId="3F7D1534" w14:textId="62EB1878" w:rsidR="00D5079D" w:rsidRPr="0046523A" w:rsidRDefault="00D5079D" w:rsidP="0065012F">
            <w:pPr>
              <w:tabs>
                <w:tab w:val="left" w:pos="3386"/>
              </w:tabs>
              <w:jc w:val="both"/>
              <w:rPr>
                <w:rFonts w:ascii="Arial" w:hAnsi="Arial" w:cs="Arial"/>
                <w:b/>
                <w:bCs/>
                <w:sz w:val="22"/>
                <w:szCs w:val="22"/>
              </w:rPr>
            </w:pPr>
          </w:p>
        </w:tc>
      </w:tr>
      <w:tr w:rsidR="0046523A" w:rsidRPr="0046523A" w14:paraId="1A1C8C63" w14:textId="77777777" w:rsidTr="72E16C6E">
        <w:trPr>
          <w:trHeight w:val="3124"/>
        </w:trPr>
        <w:tc>
          <w:tcPr>
            <w:tcW w:w="8640" w:type="dxa"/>
          </w:tcPr>
          <w:p w14:paraId="4A2C1EFE" w14:textId="77777777" w:rsidR="00EC3495" w:rsidRPr="0046523A" w:rsidRDefault="00EC3495" w:rsidP="001044C1">
            <w:pPr>
              <w:jc w:val="both"/>
              <w:rPr>
                <w:rFonts w:ascii="Arial" w:hAnsi="Arial" w:cs="Arial"/>
                <w:b/>
                <w:sz w:val="22"/>
                <w:szCs w:val="22"/>
              </w:rPr>
            </w:pPr>
          </w:p>
          <w:p w14:paraId="131A5F05" w14:textId="77777777" w:rsidR="0065012F" w:rsidRPr="0046523A" w:rsidRDefault="0065012F" w:rsidP="001044C1">
            <w:pPr>
              <w:jc w:val="both"/>
              <w:rPr>
                <w:rFonts w:ascii="Arial" w:hAnsi="Arial" w:cs="Arial"/>
                <w:b/>
                <w:sz w:val="22"/>
                <w:szCs w:val="22"/>
              </w:rPr>
            </w:pPr>
            <w:r w:rsidRPr="0046523A">
              <w:rPr>
                <w:rFonts w:ascii="Arial" w:hAnsi="Arial" w:cs="Arial"/>
                <w:b/>
                <w:sz w:val="22"/>
                <w:szCs w:val="22"/>
              </w:rPr>
              <w:t>Introduction</w:t>
            </w:r>
          </w:p>
          <w:p w14:paraId="51606E54" w14:textId="54D30985" w:rsidR="004E09D9" w:rsidRPr="0046523A" w:rsidRDefault="00D5079D" w:rsidP="1B3F2AA4">
            <w:pPr>
              <w:jc w:val="both"/>
              <w:rPr>
                <w:rFonts w:ascii="Arial" w:hAnsi="Arial" w:cs="Arial"/>
                <w:sz w:val="22"/>
                <w:szCs w:val="22"/>
              </w:rPr>
            </w:pPr>
            <w:r w:rsidRPr="0046523A">
              <w:rPr>
                <w:rFonts w:ascii="Arial" w:hAnsi="Arial" w:cs="Arial"/>
                <w:sz w:val="22"/>
                <w:szCs w:val="22"/>
              </w:rPr>
              <w:t>Forests have risen to the centre of climate change discussions for their potential</w:t>
            </w:r>
            <w:r w:rsidR="004E09D9" w:rsidRPr="0046523A">
              <w:rPr>
                <w:rFonts w:ascii="Arial" w:hAnsi="Arial" w:cs="Arial"/>
                <w:sz w:val="22"/>
                <w:szCs w:val="22"/>
              </w:rPr>
              <w:t xml:space="preserve"> to sequester and store carbon (climate change mitigation)</w:t>
            </w:r>
            <w:r w:rsidRPr="0046523A">
              <w:rPr>
                <w:rFonts w:ascii="Arial" w:hAnsi="Arial" w:cs="Arial"/>
                <w:sz w:val="22"/>
                <w:szCs w:val="22"/>
              </w:rPr>
              <w:t xml:space="preserve">. </w:t>
            </w:r>
            <w:r w:rsidR="4B209BFB" w:rsidRPr="0046523A">
              <w:rPr>
                <w:rFonts w:ascii="Arial" w:hAnsi="Arial" w:cs="Arial"/>
                <w:sz w:val="22"/>
                <w:szCs w:val="22"/>
              </w:rPr>
              <w:t>However, i</w:t>
            </w:r>
            <w:r w:rsidRPr="0046523A">
              <w:rPr>
                <w:rFonts w:ascii="Arial" w:hAnsi="Arial" w:cs="Arial"/>
                <w:sz w:val="22"/>
                <w:szCs w:val="22"/>
              </w:rPr>
              <w:t xml:space="preserve">n the field of climate change adaptation, forests and trees are too often overlooked. </w:t>
            </w:r>
          </w:p>
          <w:p w14:paraId="4806BFDB" w14:textId="0B8739C4" w:rsidR="0065012F" w:rsidRPr="0046523A" w:rsidRDefault="0016612C" w:rsidP="1B3F2AA4">
            <w:pPr>
              <w:jc w:val="both"/>
              <w:rPr>
                <w:rFonts w:ascii="Arial" w:hAnsi="Arial" w:cs="Arial"/>
                <w:sz w:val="22"/>
                <w:szCs w:val="22"/>
              </w:rPr>
            </w:pPr>
            <w:r w:rsidRPr="0046523A">
              <w:rPr>
                <w:rFonts w:ascii="Arial" w:hAnsi="Arial" w:cs="Arial"/>
                <w:sz w:val="22"/>
                <w:szCs w:val="22"/>
              </w:rPr>
              <w:t>Article 7 of the Paris Agreement sets out a ‘global goal on adaptation’ with the aim to enhance adaptive capacity, strengthen resilience and reduce vulnerability to climate change. F</w:t>
            </w:r>
            <w:r w:rsidR="00D5079D" w:rsidRPr="0046523A">
              <w:rPr>
                <w:rFonts w:ascii="Arial" w:hAnsi="Arial" w:cs="Arial"/>
                <w:sz w:val="22"/>
                <w:szCs w:val="22"/>
              </w:rPr>
              <w:t xml:space="preserve">orests provide ecosystem services that </w:t>
            </w:r>
            <w:r w:rsidR="004E09D9" w:rsidRPr="0046523A">
              <w:rPr>
                <w:rFonts w:ascii="Arial" w:hAnsi="Arial" w:cs="Arial"/>
                <w:sz w:val="22"/>
                <w:szCs w:val="22"/>
              </w:rPr>
              <w:t>help manage</w:t>
            </w:r>
            <w:r w:rsidR="00D5079D" w:rsidRPr="0046523A">
              <w:rPr>
                <w:rFonts w:ascii="Arial" w:hAnsi="Arial" w:cs="Arial"/>
                <w:sz w:val="22"/>
                <w:szCs w:val="22"/>
              </w:rPr>
              <w:t xml:space="preserve"> climate </w:t>
            </w:r>
            <w:r w:rsidRPr="0046523A">
              <w:rPr>
                <w:rFonts w:ascii="Arial" w:hAnsi="Arial" w:cs="Arial"/>
                <w:sz w:val="22"/>
                <w:szCs w:val="22"/>
              </w:rPr>
              <w:t xml:space="preserve">change </w:t>
            </w:r>
            <w:r w:rsidR="00D5079D" w:rsidRPr="0046523A">
              <w:rPr>
                <w:rFonts w:ascii="Arial" w:hAnsi="Arial" w:cs="Arial"/>
                <w:sz w:val="22"/>
                <w:szCs w:val="22"/>
              </w:rPr>
              <w:t>risks by reducing the emissions that drive</w:t>
            </w:r>
            <w:r w:rsidRPr="0046523A">
              <w:rPr>
                <w:rFonts w:ascii="Arial" w:hAnsi="Arial" w:cs="Arial"/>
                <w:sz w:val="22"/>
                <w:szCs w:val="22"/>
              </w:rPr>
              <w:t xml:space="preserve"> more frequent and intense</w:t>
            </w:r>
            <w:r w:rsidR="00D5079D" w:rsidRPr="0046523A">
              <w:rPr>
                <w:rFonts w:ascii="Arial" w:hAnsi="Arial" w:cs="Arial"/>
                <w:sz w:val="22"/>
                <w:szCs w:val="22"/>
              </w:rPr>
              <w:t xml:space="preserve"> climate extreme events, </w:t>
            </w:r>
            <w:r w:rsidRPr="0046523A">
              <w:rPr>
                <w:rFonts w:ascii="Arial" w:hAnsi="Arial" w:cs="Arial"/>
                <w:sz w:val="22"/>
                <w:szCs w:val="22"/>
              </w:rPr>
              <w:t xml:space="preserve">countering vulnerability, and </w:t>
            </w:r>
            <w:r w:rsidR="00D5079D" w:rsidRPr="0046523A">
              <w:rPr>
                <w:rFonts w:ascii="Arial" w:hAnsi="Arial" w:cs="Arial"/>
                <w:sz w:val="22"/>
                <w:szCs w:val="22"/>
              </w:rPr>
              <w:t>enhancing adaptive capacities and resilience</w:t>
            </w:r>
            <w:r w:rsidR="47E90927" w:rsidRPr="0046523A">
              <w:rPr>
                <w:rFonts w:ascii="Arial" w:hAnsi="Arial" w:cs="Arial"/>
                <w:sz w:val="22"/>
                <w:szCs w:val="22"/>
              </w:rPr>
              <w:t xml:space="preserve"> (</w:t>
            </w:r>
            <w:r w:rsidR="7EE313F0" w:rsidRPr="0046523A">
              <w:rPr>
                <w:rFonts w:ascii="Arial" w:hAnsi="Arial" w:cs="Arial"/>
                <w:sz w:val="22"/>
                <w:szCs w:val="22"/>
              </w:rPr>
              <w:t>Libert-Amico et al.</w:t>
            </w:r>
            <w:r w:rsidR="47E90927" w:rsidRPr="0046523A">
              <w:rPr>
                <w:rFonts w:ascii="Arial" w:hAnsi="Arial" w:cs="Arial"/>
                <w:sz w:val="22"/>
                <w:szCs w:val="22"/>
              </w:rPr>
              <w:t>, 2022)</w:t>
            </w:r>
            <w:r w:rsidR="00D5079D" w:rsidRPr="0046523A">
              <w:rPr>
                <w:rFonts w:ascii="Arial" w:hAnsi="Arial" w:cs="Arial"/>
                <w:sz w:val="22"/>
                <w:szCs w:val="22"/>
              </w:rPr>
              <w:t>. Forests provide a</w:t>
            </w:r>
            <w:r w:rsidR="004E09D9" w:rsidRPr="0046523A">
              <w:rPr>
                <w:rFonts w:ascii="Arial" w:hAnsi="Arial" w:cs="Arial"/>
                <w:sz w:val="22"/>
                <w:szCs w:val="22"/>
              </w:rPr>
              <w:t>n example of nature’s contributions to people and can be successfully included in adaptation strategies when their ecosystem services and biodiversity are recognized as part of ecosystem-based adaptation.</w:t>
            </w:r>
          </w:p>
          <w:p w14:paraId="0360B15E" w14:textId="013E8CB5" w:rsidR="00D5079D" w:rsidRPr="0046523A" w:rsidRDefault="00D5079D" w:rsidP="001044C1">
            <w:pPr>
              <w:jc w:val="both"/>
              <w:rPr>
                <w:rFonts w:ascii="Arial" w:hAnsi="Arial" w:cs="Arial"/>
                <w:bCs/>
                <w:sz w:val="22"/>
                <w:szCs w:val="22"/>
              </w:rPr>
            </w:pPr>
            <w:r w:rsidRPr="0046523A">
              <w:rPr>
                <w:rFonts w:ascii="Arial" w:hAnsi="Arial" w:cs="Arial"/>
                <w:bCs/>
                <w:sz w:val="22"/>
                <w:szCs w:val="22"/>
              </w:rPr>
              <w:t>This has been recognized in the IPCC Sixth Assessment Report</w:t>
            </w:r>
            <w:r w:rsidR="004E09D9" w:rsidRPr="0046523A">
              <w:rPr>
                <w:rFonts w:ascii="Arial" w:hAnsi="Arial" w:cs="Arial"/>
                <w:bCs/>
                <w:sz w:val="22"/>
                <w:szCs w:val="22"/>
              </w:rPr>
              <w:t xml:space="preserve"> (2022)</w:t>
            </w:r>
            <w:r w:rsidRPr="0046523A">
              <w:rPr>
                <w:rFonts w:ascii="Arial" w:hAnsi="Arial" w:cs="Arial"/>
                <w:bCs/>
                <w:sz w:val="22"/>
                <w:szCs w:val="22"/>
              </w:rPr>
              <w:t xml:space="preserve">, which called for upscaling tested adaptation measures that contribute to achieving the </w:t>
            </w:r>
            <w:r w:rsidR="004E09D9" w:rsidRPr="0046523A">
              <w:rPr>
                <w:rFonts w:ascii="Arial" w:hAnsi="Arial" w:cs="Arial"/>
                <w:bCs/>
                <w:sz w:val="22"/>
                <w:szCs w:val="22"/>
              </w:rPr>
              <w:t>Sustainable Development Goal</w:t>
            </w:r>
            <w:r w:rsidRPr="0046523A">
              <w:rPr>
                <w:rFonts w:ascii="Arial" w:hAnsi="Arial" w:cs="Arial"/>
                <w:bCs/>
                <w:sz w:val="22"/>
                <w:szCs w:val="22"/>
              </w:rPr>
              <w:t>s</w:t>
            </w:r>
            <w:r w:rsidR="004E09D9" w:rsidRPr="0046523A">
              <w:rPr>
                <w:rFonts w:ascii="Arial" w:hAnsi="Arial" w:cs="Arial"/>
                <w:bCs/>
                <w:sz w:val="22"/>
                <w:szCs w:val="22"/>
              </w:rPr>
              <w:t>, with specific mention made to</w:t>
            </w:r>
            <w:r w:rsidRPr="0046523A">
              <w:rPr>
                <w:rFonts w:ascii="Arial" w:hAnsi="Arial" w:cs="Arial"/>
                <w:bCs/>
                <w:sz w:val="22"/>
                <w:szCs w:val="22"/>
              </w:rPr>
              <w:t xml:space="preserve"> agroforestry and forest-based adaptation</w:t>
            </w:r>
            <w:r w:rsidR="004E09D9" w:rsidRPr="0046523A">
              <w:rPr>
                <w:rFonts w:ascii="Arial" w:hAnsi="Arial" w:cs="Arial"/>
                <w:bCs/>
                <w:sz w:val="22"/>
                <w:szCs w:val="22"/>
              </w:rPr>
              <w:t>. Forest-based adaptation</w:t>
            </w:r>
            <w:r w:rsidRPr="0046523A">
              <w:rPr>
                <w:rFonts w:ascii="Arial" w:hAnsi="Arial" w:cs="Arial"/>
                <w:bCs/>
                <w:sz w:val="22"/>
                <w:szCs w:val="22"/>
              </w:rPr>
              <w:t>, understood as climate action</w:t>
            </w:r>
            <w:r w:rsidR="00EC3495" w:rsidRPr="0046523A">
              <w:rPr>
                <w:rFonts w:ascii="Arial" w:hAnsi="Arial" w:cs="Arial"/>
                <w:bCs/>
                <w:sz w:val="22"/>
                <w:szCs w:val="22"/>
              </w:rPr>
              <w:t>s</w:t>
            </w:r>
            <w:r w:rsidRPr="0046523A">
              <w:rPr>
                <w:rFonts w:ascii="Arial" w:hAnsi="Arial" w:cs="Arial"/>
                <w:bCs/>
                <w:sz w:val="22"/>
                <w:szCs w:val="22"/>
              </w:rPr>
              <w:t xml:space="preserve"> that mobilize forests and trees to address climate risks</w:t>
            </w:r>
            <w:r w:rsidR="004E09D9" w:rsidRPr="0046523A">
              <w:rPr>
                <w:rFonts w:ascii="Arial" w:hAnsi="Arial" w:cs="Arial"/>
                <w:bCs/>
                <w:sz w:val="22"/>
                <w:szCs w:val="22"/>
              </w:rPr>
              <w:t>, includes an array of measures such as forest conservation, sustainable forest management, reforestation, trees in cities,</w:t>
            </w:r>
            <w:r w:rsidR="00EC3495" w:rsidRPr="0046523A">
              <w:rPr>
                <w:rFonts w:ascii="Arial" w:hAnsi="Arial" w:cs="Arial"/>
                <w:bCs/>
                <w:sz w:val="22"/>
                <w:szCs w:val="22"/>
              </w:rPr>
              <w:t xml:space="preserve"> and</w:t>
            </w:r>
            <w:r w:rsidR="004E09D9" w:rsidRPr="0046523A">
              <w:rPr>
                <w:rFonts w:ascii="Arial" w:hAnsi="Arial" w:cs="Arial"/>
                <w:bCs/>
                <w:sz w:val="22"/>
                <w:szCs w:val="22"/>
              </w:rPr>
              <w:t xml:space="preserve"> trees on farms</w:t>
            </w:r>
            <w:r w:rsidR="00EC3495" w:rsidRPr="0046523A">
              <w:rPr>
                <w:rFonts w:ascii="Arial" w:hAnsi="Arial" w:cs="Arial"/>
                <w:bCs/>
                <w:sz w:val="22"/>
                <w:szCs w:val="22"/>
              </w:rPr>
              <w:t>.</w:t>
            </w:r>
            <w:r w:rsidR="004E09D9" w:rsidRPr="0046523A">
              <w:rPr>
                <w:rFonts w:ascii="Arial" w:hAnsi="Arial" w:cs="Arial"/>
                <w:bCs/>
                <w:sz w:val="22"/>
                <w:szCs w:val="22"/>
              </w:rPr>
              <w:t xml:space="preserve"> </w:t>
            </w:r>
          </w:p>
          <w:p w14:paraId="58B64641" w14:textId="77777777" w:rsidR="00D5079D" w:rsidRPr="0046523A" w:rsidRDefault="00D5079D" w:rsidP="001044C1">
            <w:pPr>
              <w:jc w:val="both"/>
              <w:rPr>
                <w:rFonts w:ascii="Arial" w:hAnsi="Arial" w:cs="Arial"/>
                <w:bCs/>
                <w:sz w:val="22"/>
                <w:szCs w:val="22"/>
              </w:rPr>
            </w:pPr>
          </w:p>
          <w:p w14:paraId="5DE13B32" w14:textId="77777777" w:rsidR="0065012F" w:rsidRPr="0046523A" w:rsidRDefault="0065012F" w:rsidP="001044C1">
            <w:pPr>
              <w:jc w:val="both"/>
              <w:rPr>
                <w:rFonts w:ascii="Arial" w:hAnsi="Arial" w:cs="Arial"/>
                <w:b/>
                <w:sz w:val="22"/>
                <w:szCs w:val="22"/>
              </w:rPr>
            </w:pPr>
            <w:r w:rsidRPr="0046523A">
              <w:rPr>
                <w:rFonts w:ascii="Arial" w:hAnsi="Arial" w:cs="Arial"/>
                <w:b/>
                <w:sz w:val="22"/>
                <w:szCs w:val="22"/>
              </w:rPr>
              <w:t>Objectives</w:t>
            </w:r>
          </w:p>
          <w:p w14:paraId="7ADE60FE" w14:textId="19F387BE" w:rsidR="00D5079D" w:rsidRDefault="00D5079D" w:rsidP="001044C1">
            <w:pPr>
              <w:jc w:val="both"/>
              <w:rPr>
                <w:rFonts w:ascii="Arial" w:hAnsi="Arial" w:cs="Arial"/>
                <w:sz w:val="22"/>
                <w:szCs w:val="22"/>
              </w:rPr>
            </w:pPr>
            <w:r w:rsidRPr="0046523A">
              <w:rPr>
                <w:rFonts w:ascii="Arial" w:hAnsi="Arial" w:cs="Arial"/>
                <w:sz w:val="22"/>
                <w:szCs w:val="22"/>
              </w:rPr>
              <w:t xml:space="preserve">This presentation seeks to share ongoing work of FAO </w:t>
            </w:r>
            <w:r w:rsidR="00CC5D1D" w:rsidRPr="0046523A">
              <w:rPr>
                <w:rFonts w:ascii="Arial" w:hAnsi="Arial" w:cs="Arial"/>
                <w:sz w:val="22"/>
                <w:szCs w:val="22"/>
              </w:rPr>
              <w:t xml:space="preserve">on adaptation metrics </w:t>
            </w:r>
            <w:r w:rsidRPr="0046523A">
              <w:rPr>
                <w:rFonts w:ascii="Arial" w:hAnsi="Arial" w:cs="Arial"/>
                <w:sz w:val="22"/>
                <w:szCs w:val="22"/>
              </w:rPr>
              <w:t>with partners to highlight the contributions of forests and trees to adaptation, with mitigation and biodiversity co-benefits.</w:t>
            </w:r>
            <w:r w:rsidR="004E09D9" w:rsidRPr="0046523A">
              <w:rPr>
                <w:rFonts w:ascii="Arial" w:hAnsi="Arial" w:cs="Arial"/>
                <w:sz w:val="22"/>
                <w:szCs w:val="22"/>
              </w:rPr>
              <w:t xml:space="preserve"> </w:t>
            </w:r>
            <w:r w:rsidR="0016612C" w:rsidRPr="0046523A">
              <w:rPr>
                <w:rFonts w:ascii="Arial" w:hAnsi="Arial" w:cs="Arial"/>
                <w:sz w:val="22"/>
                <w:szCs w:val="22"/>
              </w:rPr>
              <w:t>We explore</w:t>
            </w:r>
            <w:r w:rsidR="004E09D9" w:rsidRPr="0046523A">
              <w:rPr>
                <w:rFonts w:ascii="Arial" w:hAnsi="Arial" w:cs="Arial"/>
                <w:sz w:val="22"/>
                <w:szCs w:val="22"/>
              </w:rPr>
              <w:t xml:space="preserve"> how the forestry sector can contribute to </w:t>
            </w:r>
            <w:r w:rsidR="0016612C" w:rsidRPr="0046523A">
              <w:rPr>
                <w:rFonts w:ascii="Arial" w:hAnsi="Arial" w:cs="Arial"/>
                <w:sz w:val="22"/>
                <w:szCs w:val="22"/>
              </w:rPr>
              <w:t xml:space="preserve">filling the gap between adaptation planning and implementation through </w:t>
            </w:r>
            <w:r w:rsidR="004E09D9" w:rsidRPr="0046523A">
              <w:rPr>
                <w:rFonts w:ascii="Arial" w:hAnsi="Arial" w:cs="Arial"/>
                <w:sz w:val="22"/>
                <w:szCs w:val="22"/>
              </w:rPr>
              <w:t xml:space="preserve">the </w:t>
            </w:r>
            <w:r w:rsidR="0016612C" w:rsidRPr="0046523A">
              <w:rPr>
                <w:rFonts w:ascii="Arial" w:hAnsi="Arial" w:cs="Arial"/>
                <w:sz w:val="22"/>
                <w:szCs w:val="22"/>
              </w:rPr>
              <w:t xml:space="preserve">development of measurable targets and indicators that can help countries track, assess and inform adaptation and strengthen monitoring, evaluation and learning (MEL) systems in the context of the Global Goal on </w:t>
            </w:r>
            <w:r w:rsidR="004E09D9" w:rsidRPr="0046523A">
              <w:rPr>
                <w:rFonts w:ascii="Arial" w:hAnsi="Arial" w:cs="Arial"/>
                <w:sz w:val="22"/>
                <w:szCs w:val="22"/>
              </w:rPr>
              <w:t xml:space="preserve">Adaptation. </w:t>
            </w:r>
          </w:p>
          <w:p w14:paraId="30CC4B53" w14:textId="77777777" w:rsidR="002E0062" w:rsidRPr="0046523A" w:rsidRDefault="002E0062" w:rsidP="001044C1">
            <w:pPr>
              <w:jc w:val="both"/>
              <w:rPr>
                <w:rFonts w:ascii="Arial" w:hAnsi="Arial" w:cs="Arial"/>
                <w:b/>
                <w:sz w:val="22"/>
                <w:szCs w:val="22"/>
              </w:rPr>
            </w:pPr>
          </w:p>
          <w:p w14:paraId="457D2D05" w14:textId="33EFD7D3" w:rsidR="0065012F" w:rsidRPr="0046523A" w:rsidRDefault="00906B39" w:rsidP="001044C1">
            <w:pPr>
              <w:jc w:val="both"/>
              <w:rPr>
                <w:rFonts w:ascii="Arial" w:hAnsi="Arial" w:cs="Arial"/>
                <w:b/>
                <w:sz w:val="22"/>
                <w:szCs w:val="22"/>
              </w:rPr>
            </w:pPr>
            <w:r w:rsidRPr="0046523A">
              <w:rPr>
                <w:rFonts w:ascii="Arial" w:hAnsi="Arial" w:cs="Arial"/>
                <w:b/>
                <w:sz w:val="22"/>
                <w:szCs w:val="22"/>
              </w:rPr>
              <w:t>Methodology</w:t>
            </w:r>
            <w:r w:rsidR="00BA48C7" w:rsidRPr="0046523A">
              <w:rPr>
                <w:rFonts w:ascii="Arial" w:hAnsi="Arial" w:cs="Arial"/>
                <w:b/>
                <w:sz w:val="22"/>
                <w:szCs w:val="22"/>
              </w:rPr>
              <w:t>.</w:t>
            </w:r>
          </w:p>
          <w:p w14:paraId="48AFDC86" w14:textId="5134CE34" w:rsidR="009D63F6" w:rsidRPr="0046523A" w:rsidRDefault="00F2633B" w:rsidP="1B3F2AA4">
            <w:pPr>
              <w:jc w:val="both"/>
              <w:rPr>
                <w:rFonts w:ascii="Arial" w:hAnsi="Arial" w:cs="Arial"/>
                <w:sz w:val="22"/>
                <w:szCs w:val="22"/>
              </w:rPr>
            </w:pPr>
            <w:r w:rsidRPr="0046523A">
              <w:rPr>
                <w:rFonts w:ascii="Arial" w:hAnsi="Arial" w:cs="Arial"/>
                <w:sz w:val="22"/>
                <w:szCs w:val="22"/>
                <w:lang w:val="en-CA"/>
              </w:rPr>
              <w:t>FAO has been contributing to the development of adaptation metrics for agrifood systems</w:t>
            </w:r>
            <w:r w:rsidR="3D95B87B" w:rsidRPr="0046523A">
              <w:rPr>
                <w:rFonts w:ascii="Arial" w:hAnsi="Arial" w:cs="Arial"/>
                <w:sz w:val="22"/>
                <w:szCs w:val="22"/>
                <w:lang w:val="en-CA"/>
              </w:rPr>
              <w:t xml:space="preserve"> and </w:t>
            </w:r>
            <w:r w:rsidRPr="0046523A">
              <w:rPr>
                <w:rFonts w:ascii="Arial" w:hAnsi="Arial" w:cs="Arial"/>
                <w:sz w:val="22"/>
                <w:szCs w:val="22"/>
                <w:lang w:val="en-CA"/>
              </w:rPr>
              <w:t>shaping food, agriculture and forestry indicators under the UAE-Belem Work Programme on Adaptation Indicators, set to be finalized by COP 30</w:t>
            </w:r>
            <w:r w:rsidR="00DD3051" w:rsidRPr="0046523A">
              <w:rPr>
                <w:rFonts w:ascii="Arial" w:hAnsi="Arial" w:cs="Arial"/>
                <w:sz w:val="22"/>
                <w:szCs w:val="22"/>
                <w:lang w:val="en-CA"/>
              </w:rPr>
              <w:t xml:space="preserve"> this year</w:t>
            </w:r>
            <w:r w:rsidRPr="0046523A">
              <w:rPr>
                <w:rFonts w:ascii="Arial" w:hAnsi="Arial" w:cs="Arial"/>
                <w:sz w:val="22"/>
                <w:szCs w:val="22"/>
                <w:lang w:val="en-CA"/>
              </w:rPr>
              <w:t>. In addition, FAO works closely with governments to establish adaptation MEL systems to track progress and enhance resilience in agrifood systems.</w:t>
            </w:r>
          </w:p>
          <w:p w14:paraId="702D9B99" w14:textId="744115F2" w:rsidR="0016612C" w:rsidRPr="0046523A" w:rsidRDefault="0016612C" w:rsidP="1B3F2AA4">
            <w:pPr>
              <w:jc w:val="both"/>
              <w:rPr>
                <w:rFonts w:ascii="Arial" w:hAnsi="Arial" w:cs="Arial"/>
                <w:sz w:val="22"/>
                <w:szCs w:val="22"/>
              </w:rPr>
            </w:pPr>
            <w:r w:rsidRPr="0046523A">
              <w:rPr>
                <w:rFonts w:ascii="Arial" w:hAnsi="Arial" w:cs="Arial"/>
                <w:sz w:val="22"/>
                <w:szCs w:val="22"/>
              </w:rPr>
              <w:t xml:space="preserve">In parallel, we have sought to engage </w:t>
            </w:r>
            <w:r w:rsidR="300DCF94" w:rsidRPr="0046523A">
              <w:rPr>
                <w:rFonts w:ascii="Arial" w:hAnsi="Arial" w:cs="Arial"/>
                <w:sz w:val="22"/>
                <w:szCs w:val="22"/>
              </w:rPr>
              <w:t xml:space="preserve">member nations, </w:t>
            </w:r>
            <w:r w:rsidRPr="0046523A">
              <w:rPr>
                <w:rFonts w:ascii="Arial" w:hAnsi="Arial" w:cs="Arial"/>
                <w:sz w:val="22"/>
                <w:szCs w:val="22"/>
              </w:rPr>
              <w:t xml:space="preserve">research partners and </w:t>
            </w:r>
            <w:r w:rsidR="7018B469" w:rsidRPr="0046523A">
              <w:rPr>
                <w:rFonts w:ascii="Arial" w:hAnsi="Arial" w:cs="Arial"/>
                <w:sz w:val="22"/>
                <w:szCs w:val="22"/>
              </w:rPr>
              <w:t xml:space="preserve">forestry </w:t>
            </w:r>
            <w:r w:rsidRPr="0046523A">
              <w:rPr>
                <w:rFonts w:ascii="Arial" w:hAnsi="Arial" w:cs="Arial"/>
                <w:sz w:val="22"/>
                <w:szCs w:val="22"/>
              </w:rPr>
              <w:t xml:space="preserve">experts to discuss the policy implications of applying forest science, innovation and technology to report and learn on resilience and climate change adaptation.  </w:t>
            </w:r>
          </w:p>
          <w:p w14:paraId="015EFC6C" w14:textId="13101DB0" w:rsidR="0065012F" w:rsidRPr="0046523A" w:rsidRDefault="0016612C" w:rsidP="001044C1">
            <w:pPr>
              <w:jc w:val="both"/>
              <w:rPr>
                <w:rFonts w:ascii="Arial" w:hAnsi="Arial" w:cs="Arial"/>
                <w:bCs/>
                <w:sz w:val="22"/>
                <w:szCs w:val="22"/>
              </w:rPr>
            </w:pPr>
            <w:r w:rsidRPr="0046523A">
              <w:rPr>
                <w:rFonts w:ascii="Arial" w:hAnsi="Arial" w:cs="Arial"/>
                <w:bCs/>
                <w:sz w:val="22"/>
                <w:szCs w:val="22"/>
              </w:rPr>
              <w:t xml:space="preserve">Furthermore, a review of submitted Biennial Transparency Reports (BTR) was carried out to assess country priorities with regards to adaptation, resilience and forests. </w:t>
            </w:r>
          </w:p>
          <w:p w14:paraId="44198CB9" w14:textId="77777777" w:rsidR="0016612C" w:rsidRPr="0046523A" w:rsidRDefault="0016612C" w:rsidP="001044C1">
            <w:pPr>
              <w:jc w:val="both"/>
              <w:rPr>
                <w:rFonts w:ascii="Arial" w:hAnsi="Arial" w:cs="Arial"/>
                <w:bCs/>
                <w:sz w:val="22"/>
                <w:szCs w:val="22"/>
              </w:rPr>
            </w:pPr>
          </w:p>
          <w:p w14:paraId="4BCDEED6" w14:textId="16FBE9C4" w:rsidR="004E09D9" w:rsidRPr="0046523A" w:rsidRDefault="0065012F" w:rsidP="004E09D9">
            <w:pPr>
              <w:jc w:val="both"/>
              <w:rPr>
                <w:rFonts w:ascii="Arial" w:hAnsi="Arial" w:cs="Arial"/>
                <w:b/>
                <w:sz w:val="22"/>
                <w:szCs w:val="22"/>
              </w:rPr>
            </w:pPr>
            <w:r w:rsidRPr="0046523A">
              <w:rPr>
                <w:rFonts w:ascii="Arial" w:hAnsi="Arial" w:cs="Arial"/>
                <w:b/>
                <w:sz w:val="22"/>
                <w:szCs w:val="22"/>
              </w:rPr>
              <w:t>Findings</w:t>
            </w:r>
            <w:r w:rsidR="004E09D9" w:rsidRPr="0046523A">
              <w:rPr>
                <w:rFonts w:ascii="Arial" w:hAnsi="Arial" w:cs="Arial"/>
                <w:b/>
                <w:sz w:val="22"/>
                <w:szCs w:val="22"/>
              </w:rPr>
              <w:t xml:space="preserve"> and Significance of the work for policy and practice </w:t>
            </w:r>
          </w:p>
          <w:p w14:paraId="26DC99F1" w14:textId="1695785A" w:rsidR="0065012F" w:rsidRPr="0046523A" w:rsidRDefault="00D5079D" w:rsidP="001044C1">
            <w:pPr>
              <w:jc w:val="both"/>
              <w:rPr>
                <w:rFonts w:ascii="Arial" w:hAnsi="Arial" w:cs="Arial"/>
                <w:bCs/>
                <w:sz w:val="22"/>
                <w:szCs w:val="22"/>
              </w:rPr>
            </w:pPr>
            <w:r w:rsidRPr="0046523A">
              <w:rPr>
                <w:rFonts w:ascii="Arial" w:hAnsi="Arial" w:cs="Arial"/>
                <w:bCs/>
                <w:sz w:val="22"/>
                <w:szCs w:val="22"/>
              </w:rPr>
              <w:t xml:space="preserve">The science, innovation and technology promoted by the forestry sector </w:t>
            </w:r>
            <w:r w:rsidR="0016612C" w:rsidRPr="0046523A">
              <w:rPr>
                <w:rFonts w:ascii="Arial" w:hAnsi="Arial" w:cs="Arial"/>
                <w:bCs/>
                <w:sz w:val="22"/>
                <w:szCs w:val="22"/>
              </w:rPr>
              <w:t>has the potential to provide</w:t>
            </w:r>
            <w:r w:rsidRPr="0046523A">
              <w:rPr>
                <w:rFonts w:ascii="Arial" w:hAnsi="Arial" w:cs="Arial"/>
                <w:bCs/>
                <w:sz w:val="22"/>
                <w:szCs w:val="22"/>
              </w:rPr>
              <w:t xml:space="preserve"> input not only to climate </w:t>
            </w:r>
            <w:r w:rsidR="0016612C" w:rsidRPr="0046523A">
              <w:rPr>
                <w:rFonts w:ascii="Arial" w:hAnsi="Arial" w:cs="Arial"/>
                <w:bCs/>
                <w:sz w:val="22"/>
                <w:szCs w:val="22"/>
              </w:rPr>
              <w:t xml:space="preserve">change </w:t>
            </w:r>
            <w:r w:rsidRPr="0046523A">
              <w:rPr>
                <w:rFonts w:ascii="Arial" w:hAnsi="Arial" w:cs="Arial"/>
                <w:bCs/>
                <w:sz w:val="22"/>
                <w:szCs w:val="22"/>
              </w:rPr>
              <w:t xml:space="preserve">mitigation, but also to discussions on adaptation. National forest inventories, forest monitoring from the community to the </w:t>
            </w:r>
            <w:r w:rsidRPr="0046523A">
              <w:rPr>
                <w:rFonts w:ascii="Arial" w:hAnsi="Arial" w:cs="Arial"/>
                <w:bCs/>
                <w:sz w:val="22"/>
                <w:szCs w:val="22"/>
              </w:rPr>
              <w:lastRenderedPageBreak/>
              <w:t xml:space="preserve">national level, and technological advances in </w:t>
            </w:r>
            <w:r w:rsidR="0016612C" w:rsidRPr="0046523A">
              <w:rPr>
                <w:rFonts w:ascii="Arial" w:hAnsi="Arial" w:cs="Arial"/>
                <w:bCs/>
                <w:sz w:val="22"/>
                <w:szCs w:val="22"/>
              </w:rPr>
              <w:t>forest assessments can harness</w:t>
            </w:r>
            <w:r w:rsidRPr="0046523A">
              <w:rPr>
                <w:rFonts w:ascii="Arial" w:hAnsi="Arial" w:cs="Arial"/>
                <w:bCs/>
                <w:sz w:val="22"/>
                <w:szCs w:val="22"/>
              </w:rPr>
              <w:t xml:space="preserve"> crucial insight to the global effort to </w:t>
            </w:r>
            <w:r w:rsidR="004E09D9" w:rsidRPr="0046523A">
              <w:rPr>
                <w:rFonts w:ascii="Arial" w:hAnsi="Arial" w:cs="Arial"/>
                <w:bCs/>
                <w:sz w:val="22"/>
                <w:szCs w:val="22"/>
              </w:rPr>
              <w:t>develop a manageable set of indicators to assess progress towards the UAE Framework for Global Climate Resilience (the GGA framework), under discussion at COP30 in Belém, Brazil</w:t>
            </w:r>
            <w:r w:rsidR="0016612C" w:rsidRPr="0046523A">
              <w:rPr>
                <w:rFonts w:ascii="Arial" w:hAnsi="Arial" w:cs="Arial"/>
                <w:bCs/>
                <w:sz w:val="22"/>
                <w:szCs w:val="22"/>
              </w:rPr>
              <w:t>,</w:t>
            </w:r>
            <w:r w:rsidR="004E09D9" w:rsidRPr="0046523A">
              <w:rPr>
                <w:rFonts w:ascii="Arial" w:hAnsi="Arial" w:cs="Arial"/>
                <w:bCs/>
                <w:sz w:val="22"/>
                <w:szCs w:val="22"/>
              </w:rPr>
              <w:t xml:space="preserve"> in </w:t>
            </w:r>
            <w:proofErr w:type="gramStart"/>
            <w:r w:rsidR="004E09D9" w:rsidRPr="0046523A">
              <w:rPr>
                <w:rFonts w:ascii="Arial" w:hAnsi="Arial" w:cs="Arial"/>
                <w:bCs/>
                <w:sz w:val="22"/>
                <w:szCs w:val="22"/>
              </w:rPr>
              <w:t>November,</w:t>
            </w:r>
            <w:proofErr w:type="gramEnd"/>
            <w:r w:rsidR="004E09D9" w:rsidRPr="0046523A">
              <w:rPr>
                <w:rFonts w:ascii="Arial" w:hAnsi="Arial" w:cs="Arial"/>
                <w:bCs/>
                <w:sz w:val="22"/>
                <w:szCs w:val="22"/>
              </w:rPr>
              <w:t xml:space="preserve"> 2025.</w:t>
            </w:r>
          </w:p>
          <w:p w14:paraId="7C69A933" w14:textId="77777777" w:rsidR="004E09D9" w:rsidRPr="0046523A" w:rsidRDefault="004E09D9" w:rsidP="001044C1">
            <w:pPr>
              <w:jc w:val="both"/>
              <w:rPr>
                <w:rFonts w:ascii="Arial" w:hAnsi="Arial" w:cs="Arial"/>
                <w:bCs/>
                <w:sz w:val="22"/>
                <w:szCs w:val="22"/>
              </w:rPr>
            </w:pPr>
          </w:p>
          <w:p w14:paraId="7343E610" w14:textId="43882BB5" w:rsidR="5A35E2F6" w:rsidRPr="0046523A" w:rsidRDefault="5A35E2F6" w:rsidP="1B3F2AA4">
            <w:pPr>
              <w:spacing w:line="259" w:lineRule="auto"/>
              <w:jc w:val="both"/>
            </w:pPr>
            <w:r w:rsidRPr="0046523A">
              <w:rPr>
                <w:rFonts w:ascii="Arial" w:hAnsi="Arial" w:cs="Arial"/>
                <w:b/>
                <w:bCs/>
                <w:sz w:val="22"/>
                <w:szCs w:val="22"/>
                <w:lang w:val="en-CA"/>
              </w:rPr>
              <w:t>References</w:t>
            </w:r>
          </w:p>
          <w:p w14:paraId="68E28087" w14:textId="77777777" w:rsidR="00DD3051" w:rsidRPr="0046523A" w:rsidRDefault="00DD3051" w:rsidP="00DD3051">
            <w:pPr>
              <w:rPr>
                <w:rFonts w:ascii="Arial" w:hAnsi="Arial" w:cs="Arial"/>
                <w:sz w:val="22"/>
                <w:szCs w:val="22"/>
              </w:rPr>
            </w:pPr>
            <w:r w:rsidRPr="0046523A">
              <w:rPr>
                <w:rFonts w:ascii="Arial" w:hAnsi="Arial" w:cs="Arial"/>
                <w:sz w:val="22"/>
                <w:szCs w:val="22"/>
              </w:rPr>
              <w:t xml:space="preserve">- IPCC. 2022. Climate Change 2022: Impacts, Adaptation and Vulnerability. Contribution of Working Group II to the Sixth Assessment Report of the Intergovernmental Panel on Climate Change. Cambridge, UK and New York, USA. </w:t>
            </w:r>
          </w:p>
          <w:p w14:paraId="5469BC25" w14:textId="4E689794" w:rsidR="00DD3051" w:rsidRPr="0046523A" w:rsidRDefault="00DD3051" w:rsidP="00DD3051">
            <w:pPr>
              <w:rPr>
                <w:rFonts w:ascii="Arial" w:hAnsi="Arial" w:cs="Arial"/>
                <w:sz w:val="22"/>
                <w:szCs w:val="22"/>
              </w:rPr>
            </w:pPr>
            <w:r w:rsidRPr="0046523A">
              <w:rPr>
                <w:rFonts w:ascii="Arial" w:hAnsi="Arial" w:cs="Arial"/>
                <w:sz w:val="22"/>
                <w:szCs w:val="22"/>
              </w:rPr>
              <w:t xml:space="preserve">- Libert-Amico, A., Duchelle, A.E., Cobb, A., Peccoud, V. &amp; Djoudi, H. 2022. Forest-based adaptation: transformational adaptation through forests and trees. Rome, FAO. </w:t>
            </w:r>
            <w:hyperlink r:id="rId9" w:history="1">
              <w:r w:rsidRPr="0046523A">
                <w:rPr>
                  <w:rStyle w:val="Hyperlink"/>
                  <w:rFonts w:ascii="Arial" w:hAnsi="Arial" w:cs="Arial"/>
                  <w:color w:val="auto"/>
                  <w:sz w:val="22"/>
                  <w:szCs w:val="22"/>
                </w:rPr>
                <w:t>https://doi.org/10.4060/cc2886en</w:t>
              </w:r>
            </w:hyperlink>
            <w:r w:rsidRPr="0046523A">
              <w:rPr>
                <w:rFonts w:ascii="Arial" w:hAnsi="Arial" w:cs="Arial"/>
                <w:sz w:val="22"/>
                <w:szCs w:val="22"/>
              </w:rPr>
              <w:t xml:space="preserve"> </w:t>
            </w:r>
          </w:p>
          <w:p w14:paraId="7763B001" w14:textId="3CB8592A" w:rsidR="00DD3051" w:rsidRPr="0046523A" w:rsidRDefault="00DD3051" w:rsidP="00DD3051">
            <w:pPr>
              <w:rPr>
                <w:rFonts w:ascii="Arial" w:hAnsi="Arial" w:cs="Arial"/>
                <w:sz w:val="22"/>
                <w:szCs w:val="22"/>
              </w:rPr>
            </w:pPr>
            <w:r w:rsidRPr="0046523A">
              <w:rPr>
                <w:rFonts w:ascii="Arial" w:hAnsi="Arial" w:cs="Arial"/>
                <w:sz w:val="22"/>
                <w:szCs w:val="22"/>
                <w:lang w:val="it-IT"/>
              </w:rPr>
              <w:t xml:space="preserve">- Distefano, E., Rai, N. &amp; Wolf, J. 2023. </w:t>
            </w:r>
            <w:r w:rsidRPr="0046523A">
              <w:rPr>
                <w:rFonts w:ascii="Arial" w:hAnsi="Arial" w:cs="Arial"/>
                <w:sz w:val="22"/>
                <w:szCs w:val="22"/>
              </w:rPr>
              <w:t xml:space="preserve">Using metrics to assess progress towards the Paris Agreement’s Global Goal on Adaptation: Transparency in adaptation in the agricultural sectors. Rome, Italy, FAO. </w:t>
            </w:r>
            <w:hyperlink r:id="rId10" w:history="1">
              <w:r w:rsidRPr="0046523A">
                <w:rPr>
                  <w:rStyle w:val="Hyperlink"/>
                  <w:rFonts w:ascii="Arial" w:hAnsi="Arial" w:cs="Arial"/>
                  <w:color w:val="auto"/>
                  <w:sz w:val="22"/>
                  <w:szCs w:val="22"/>
                </w:rPr>
                <w:t>https://doi.org/10.4060/cc2038en</w:t>
              </w:r>
            </w:hyperlink>
            <w:r w:rsidRPr="0046523A">
              <w:rPr>
                <w:rFonts w:ascii="Arial" w:hAnsi="Arial" w:cs="Arial"/>
                <w:sz w:val="22"/>
                <w:szCs w:val="22"/>
              </w:rPr>
              <w:t xml:space="preserve"> </w:t>
            </w:r>
          </w:p>
          <w:p w14:paraId="60664F56" w14:textId="4A385D3E" w:rsidR="1B3F2AA4" w:rsidRPr="0046523A" w:rsidRDefault="00DD3051" w:rsidP="00DD3051">
            <w:pPr>
              <w:rPr>
                <w:rFonts w:ascii="Arial" w:hAnsi="Arial" w:cs="Arial"/>
                <w:sz w:val="22"/>
                <w:szCs w:val="22"/>
              </w:rPr>
            </w:pPr>
            <w:r w:rsidRPr="0046523A">
              <w:rPr>
                <w:rFonts w:ascii="Arial" w:hAnsi="Arial" w:cs="Arial"/>
                <w:sz w:val="22"/>
                <w:szCs w:val="22"/>
              </w:rPr>
              <w:t xml:space="preserve">- UNFCCC. 2024. Experts’ progress report, food | UNFCCC. </w:t>
            </w:r>
            <w:hyperlink r:id="rId11" w:history="1">
              <w:r w:rsidRPr="0046523A">
                <w:rPr>
                  <w:rStyle w:val="Hyperlink"/>
                  <w:rFonts w:ascii="Arial" w:hAnsi="Arial" w:cs="Arial"/>
                  <w:color w:val="auto"/>
                  <w:sz w:val="22"/>
                  <w:szCs w:val="22"/>
                </w:rPr>
                <w:t>https://unfccc.int/documents/644540</w:t>
              </w:r>
            </w:hyperlink>
          </w:p>
          <w:p w14:paraId="53E97E6E" w14:textId="77777777" w:rsidR="00DD3051" w:rsidRPr="0046523A" w:rsidRDefault="00DD3051" w:rsidP="00DD3051">
            <w:pPr>
              <w:rPr>
                <w:rFonts w:ascii="Arial" w:hAnsi="Arial" w:cs="Arial"/>
                <w:sz w:val="22"/>
                <w:szCs w:val="22"/>
              </w:rPr>
            </w:pPr>
          </w:p>
          <w:p w14:paraId="2CBAECD6" w14:textId="729DADBB" w:rsidR="009F4EA0" w:rsidRPr="0046523A" w:rsidRDefault="009F4EA0" w:rsidP="001044C1">
            <w:pPr>
              <w:jc w:val="both"/>
              <w:rPr>
                <w:rFonts w:ascii="Arial" w:hAnsi="Arial" w:cs="Arial"/>
                <w:b/>
                <w:sz w:val="22"/>
                <w:szCs w:val="22"/>
              </w:rPr>
            </w:pPr>
          </w:p>
        </w:tc>
      </w:tr>
      <w:tr w:rsidR="0046523A" w:rsidRPr="0046523A" w14:paraId="1B36CDF7" w14:textId="77777777" w:rsidTr="72E16C6E">
        <w:trPr>
          <w:trHeight w:val="300"/>
        </w:trPr>
        <w:tc>
          <w:tcPr>
            <w:tcW w:w="8640" w:type="dxa"/>
          </w:tcPr>
          <w:p w14:paraId="67812B56" w14:textId="40B3D37A" w:rsidR="1B3F2AA4" w:rsidRPr="0046523A" w:rsidRDefault="1B3F2AA4" w:rsidP="1B3F2AA4">
            <w:pPr>
              <w:jc w:val="both"/>
              <w:rPr>
                <w:rFonts w:ascii="Arial" w:hAnsi="Arial" w:cs="Arial"/>
                <w:sz w:val="22"/>
                <w:szCs w:val="22"/>
              </w:rPr>
            </w:pPr>
          </w:p>
        </w:tc>
      </w:tr>
    </w:tbl>
    <w:p w14:paraId="14FC3BE1" w14:textId="1ED2D544" w:rsidR="00C8423A" w:rsidRDefault="00C8423A" w:rsidP="00375B20">
      <w:pPr>
        <w:tabs>
          <w:tab w:val="left" w:pos="8931"/>
        </w:tabs>
      </w:pPr>
    </w:p>
    <w:p w14:paraId="1F78349F" w14:textId="0B4008DF" w:rsidR="00671562" w:rsidRDefault="00671562" w:rsidP="00375B20">
      <w:pPr>
        <w:tabs>
          <w:tab w:val="left" w:pos="8931"/>
        </w:tabs>
      </w:pPr>
    </w:p>
    <w:sectPr w:rsidR="00671562"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227D"/>
    <w:multiLevelType w:val="hybridMultilevel"/>
    <w:tmpl w:val="138EAB2C"/>
    <w:lvl w:ilvl="0" w:tplc="337EC340">
      <w:start w:val="1"/>
      <w:numFmt w:val="bullet"/>
      <w:lvlText w:val="-"/>
      <w:lvlJc w:val="left"/>
      <w:pPr>
        <w:ind w:left="720" w:hanging="360"/>
      </w:pPr>
      <w:rPr>
        <w:rFonts w:ascii="Aptos" w:hAnsi="Aptos" w:hint="default"/>
      </w:rPr>
    </w:lvl>
    <w:lvl w:ilvl="1" w:tplc="20FE1C10">
      <w:start w:val="1"/>
      <w:numFmt w:val="bullet"/>
      <w:lvlText w:val="o"/>
      <w:lvlJc w:val="left"/>
      <w:pPr>
        <w:ind w:left="1440" w:hanging="360"/>
      </w:pPr>
      <w:rPr>
        <w:rFonts w:ascii="Courier New" w:hAnsi="Courier New" w:hint="default"/>
      </w:rPr>
    </w:lvl>
    <w:lvl w:ilvl="2" w:tplc="D19015D8">
      <w:start w:val="1"/>
      <w:numFmt w:val="bullet"/>
      <w:lvlText w:val=""/>
      <w:lvlJc w:val="left"/>
      <w:pPr>
        <w:ind w:left="2160" w:hanging="360"/>
      </w:pPr>
      <w:rPr>
        <w:rFonts w:ascii="Wingdings" w:hAnsi="Wingdings" w:hint="default"/>
      </w:rPr>
    </w:lvl>
    <w:lvl w:ilvl="3" w:tplc="796A3C1E">
      <w:start w:val="1"/>
      <w:numFmt w:val="bullet"/>
      <w:lvlText w:val=""/>
      <w:lvlJc w:val="left"/>
      <w:pPr>
        <w:ind w:left="2880" w:hanging="360"/>
      </w:pPr>
      <w:rPr>
        <w:rFonts w:ascii="Symbol" w:hAnsi="Symbol" w:hint="default"/>
      </w:rPr>
    </w:lvl>
    <w:lvl w:ilvl="4" w:tplc="BC520984">
      <w:start w:val="1"/>
      <w:numFmt w:val="bullet"/>
      <w:lvlText w:val="o"/>
      <w:lvlJc w:val="left"/>
      <w:pPr>
        <w:ind w:left="3600" w:hanging="360"/>
      </w:pPr>
      <w:rPr>
        <w:rFonts w:ascii="Courier New" w:hAnsi="Courier New" w:hint="default"/>
      </w:rPr>
    </w:lvl>
    <w:lvl w:ilvl="5" w:tplc="55C842D0">
      <w:start w:val="1"/>
      <w:numFmt w:val="bullet"/>
      <w:lvlText w:val=""/>
      <w:lvlJc w:val="left"/>
      <w:pPr>
        <w:ind w:left="4320" w:hanging="360"/>
      </w:pPr>
      <w:rPr>
        <w:rFonts w:ascii="Wingdings" w:hAnsi="Wingdings" w:hint="default"/>
      </w:rPr>
    </w:lvl>
    <w:lvl w:ilvl="6" w:tplc="824AE612">
      <w:start w:val="1"/>
      <w:numFmt w:val="bullet"/>
      <w:lvlText w:val=""/>
      <w:lvlJc w:val="left"/>
      <w:pPr>
        <w:ind w:left="5040" w:hanging="360"/>
      </w:pPr>
      <w:rPr>
        <w:rFonts w:ascii="Symbol" w:hAnsi="Symbol" w:hint="default"/>
      </w:rPr>
    </w:lvl>
    <w:lvl w:ilvl="7" w:tplc="CF160E06">
      <w:start w:val="1"/>
      <w:numFmt w:val="bullet"/>
      <w:lvlText w:val="o"/>
      <w:lvlJc w:val="left"/>
      <w:pPr>
        <w:ind w:left="5760" w:hanging="360"/>
      </w:pPr>
      <w:rPr>
        <w:rFonts w:ascii="Courier New" w:hAnsi="Courier New" w:hint="default"/>
      </w:rPr>
    </w:lvl>
    <w:lvl w:ilvl="8" w:tplc="4EA23092">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37967611">
    <w:abstractNumId w:val="0"/>
  </w:num>
  <w:num w:numId="2" w16cid:durableId="416439391">
    <w:abstractNumId w:val="1"/>
  </w:num>
  <w:num w:numId="3" w16cid:durableId="1027095654">
    <w:abstractNumId w:val="3"/>
  </w:num>
  <w:num w:numId="4" w16cid:durableId="131637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4DD2"/>
    <w:rsid w:val="000454E9"/>
    <w:rsid w:val="001044C1"/>
    <w:rsid w:val="00105E39"/>
    <w:rsid w:val="00132AE5"/>
    <w:rsid w:val="00155315"/>
    <w:rsid w:val="0016612C"/>
    <w:rsid w:val="001B079F"/>
    <w:rsid w:val="001C628C"/>
    <w:rsid w:val="00247C60"/>
    <w:rsid w:val="00256963"/>
    <w:rsid w:val="00264C0A"/>
    <w:rsid w:val="00295E0F"/>
    <w:rsid w:val="002B1036"/>
    <w:rsid w:val="002E0062"/>
    <w:rsid w:val="002E3AA3"/>
    <w:rsid w:val="00300BF3"/>
    <w:rsid w:val="003104E4"/>
    <w:rsid w:val="00317356"/>
    <w:rsid w:val="0034503D"/>
    <w:rsid w:val="00347968"/>
    <w:rsid w:val="0035357B"/>
    <w:rsid w:val="00354C31"/>
    <w:rsid w:val="00375B20"/>
    <w:rsid w:val="00386D01"/>
    <w:rsid w:val="004049E7"/>
    <w:rsid w:val="0044231E"/>
    <w:rsid w:val="00462B90"/>
    <w:rsid w:val="0046523A"/>
    <w:rsid w:val="004728E4"/>
    <w:rsid w:val="004828A0"/>
    <w:rsid w:val="004B5E8A"/>
    <w:rsid w:val="004B69C7"/>
    <w:rsid w:val="004D193B"/>
    <w:rsid w:val="004E09D9"/>
    <w:rsid w:val="004F4CE8"/>
    <w:rsid w:val="004F5C81"/>
    <w:rsid w:val="005030F4"/>
    <w:rsid w:val="00524D62"/>
    <w:rsid w:val="0053222C"/>
    <w:rsid w:val="005469BD"/>
    <w:rsid w:val="00550B17"/>
    <w:rsid w:val="005854B8"/>
    <w:rsid w:val="005B182B"/>
    <w:rsid w:val="006053E2"/>
    <w:rsid w:val="0065012F"/>
    <w:rsid w:val="00665587"/>
    <w:rsid w:val="00671562"/>
    <w:rsid w:val="0068043B"/>
    <w:rsid w:val="00681CA7"/>
    <w:rsid w:val="00762BFF"/>
    <w:rsid w:val="00763EA5"/>
    <w:rsid w:val="007973B4"/>
    <w:rsid w:val="008235E8"/>
    <w:rsid w:val="008773DF"/>
    <w:rsid w:val="008B01BA"/>
    <w:rsid w:val="008B50A0"/>
    <w:rsid w:val="008C0C35"/>
    <w:rsid w:val="008C22AD"/>
    <w:rsid w:val="008C2633"/>
    <w:rsid w:val="008E3D8D"/>
    <w:rsid w:val="008F2F93"/>
    <w:rsid w:val="009010B0"/>
    <w:rsid w:val="00906B39"/>
    <w:rsid w:val="009173EF"/>
    <w:rsid w:val="00963443"/>
    <w:rsid w:val="00974F59"/>
    <w:rsid w:val="0097506C"/>
    <w:rsid w:val="00986428"/>
    <w:rsid w:val="009C374A"/>
    <w:rsid w:val="009D63F6"/>
    <w:rsid w:val="009F4EA0"/>
    <w:rsid w:val="00B026E8"/>
    <w:rsid w:val="00B86761"/>
    <w:rsid w:val="00BA0872"/>
    <w:rsid w:val="00BA26BB"/>
    <w:rsid w:val="00BA48C7"/>
    <w:rsid w:val="00BC6810"/>
    <w:rsid w:val="00BE0B4D"/>
    <w:rsid w:val="00BE58D6"/>
    <w:rsid w:val="00C26081"/>
    <w:rsid w:val="00C4126D"/>
    <w:rsid w:val="00C47E62"/>
    <w:rsid w:val="00C52E0E"/>
    <w:rsid w:val="00C5676E"/>
    <w:rsid w:val="00C76C99"/>
    <w:rsid w:val="00C8423A"/>
    <w:rsid w:val="00CC5D1D"/>
    <w:rsid w:val="00CD07A5"/>
    <w:rsid w:val="00CE53FE"/>
    <w:rsid w:val="00CF38C5"/>
    <w:rsid w:val="00D46607"/>
    <w:rsid w:val="00D5079D"/>
    <w:rsid w:val="00D716AD"/>
    <w:rsid w:val="00D928EE"/>
    <w:rsid w:val="00DB7929"/>
    <w:rsid w:val="00DD1BB3"/>
    <w:rsid w:val="00DD1BEC"/>
    <w:rsid w:val="00DD3051"/>
    <w:rsid w:val="00E01803"/>
    <w:rsid w:val="00E221CD"/>
    <w:rsid w:val="00E323C9"/>
    <w:rsid w:val="00E57888"/>
    <w:rsid w:val="00E612FF"/>
    <w:rsid w:val="00E61FFB"/>
    <w:rsid w:val="00EB1B31"/>
    <w:rsid w:val="00EC3495"/>
    <w:rsid w:val="00ED3800"/>
    <w:rsid w:val="00ED4D8B"/>
    <w:rsid w:val="00F14E77"/>
    <w:rsid w:val="00F2633B"/>
    <w:rsid w:val="00F818D6"/>
    <w:rsid w:val="00FA372B"/>
    <w:rsid w:val="00FF5B86"/>
    <w:rsid w:val="028358AF"/>
    <w:rsid w:val="0FADE924"/>
    <w:rsid w:val="147A811B"/>
    <w:rsid w:val="16C68EBB"/>
    <w:rsid w:val="1B3F2AA4"/>
    <w:rsid w:val="1D9A41A9"/>
    <w:rsid w:val="2255533A"/>
    <w:rsid w:val="296B5CDD"/>
    <w:rsid w:val="2B0B150C"/>
    <w:rsid w:val="2F97CA6F"/>
    <w:rsid w:val="300DCF94"/>
    <w:rsid w:val="3D95B87B"/>
    <w:rsid w:val="464FD805"/>
    <w:rsid w:val="47E90927"/>
    <w:rsid w:val="4B1E7115"/>
    <w:rsid w:val="4B209BFB"/>
    <w:rsid w:val="4C4E9113"/>
    <w:rsid w:val="55F5E7A5"/>
    <w:rsid w:val="5A35E2F6"/>
    <w:rsid w:val="5C61F795"/>
    <w:rsid w:val="65D784E1"/>
    <w:rsid w:val="69F9C91A"/>
    <w:rsid w:val="701210ED"/>
    <w:rsid w:val="7018B469"/>
    <w:rsid w:val="72E16C6E"/>
    <w:rsid w:val="72F64D6F"/>
    <w:rsid w:val="773E6192"/>
    <w:rsid w:val="7EE313F0"/>
    <w:rsid w:val="7F32A4E4"/>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9EFE032F-54B7-4C9F-B3A3-CC33844F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1B3F2AA4"/>
    <w:rPr>
      <w:color w:val="0563C1"/>
      <w:u w:val="single"/>
    </w:rPr>
  </w:style>
  <w:style w:type="paragraph" w:styleId="Bibliography">
    <w:name w:val="Bibliography"/>
    <w:basedOn w:val="Normal"/>
    <w:next w:val="Normal"/>
    <w:uiPriority w:val="37"/>
    <w:unhideWhenUsed/>
    <w:rsid w:val="00E01803"/>
    <w:pPr>
      <w:ind w:left="720" w:hanging="720"/>
    </w:pPr>
  </w:style>
  <w:style w:type="character" w:styleId="UnresolvedMention">
    <w:name w:val="Unresolved Mention"/>
    <w:basedOn w:val="DefaultParagraphFont"/>
    <w:uiPriority w:val="99"/>
    <w:semiHidden/>
    <w:unhideWhenUsed/>
    <w:rsid w:val="00DD3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fccc.int/documents/644540" TargetMode="External"/><Relationship Id="rId5" Type="http://schemas.openxmlformats.org/officeDocument/2006/relationships/numbering" Target="numbering.xml"/><Relationship Id="rId10" Type="http://schemas.openxmlformats.org/officeDocument/2006/relationships/hyperlink" Target="https://doi.org/10.4060/cc2038en" TargetMode="External"/><Relationship Id="rId4" Type="http://schemas.openxmlformats.org/officeDocument/2006/relationships/customXml" Target="../customXml/item4.xml"/><Relationship Id="rId9" Type="http://schemas.openxmlformats.org/officeDocument/2006/relationships/hyperlink" Target="https://doi.org/10.4060/cc288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3DB2C263-D7D9-4C35-8425-9E2AE24B27AF}">
  <ds:schemaRefs>
    <ds:schemaRef ds:uri="http://schemas.openxmlformats.org/officeDocument/2006/bibliography"/>
  </ds:schemaRefs>
</ds:datastoreItem>
</file>

<file path=customXml/itemProps3.xml><?xml version="1.0" encoding="utf-8"?>
<ds:datastoreItem xmlns:ds="http://schemas.openxmlformats.org/officeDocument/2006/customXml" ds:itemID="{C375252D-E591-453A-8164-E6940B4D4083}">
  <ds:schemaRefs>
    <ds:schemaRef ds:uri="9c8a2b7b-0bee-4c48-b0a6-23db8982d3bc"/>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cab52c9b-ab33-4221-8af9-54f8f2b86a80"/>
    <ds:schemaRef ds:uri="6911e96c-4cc4-42d5-8e43-f93924cf6a05"/>
    <ds:schemaRef ds:uri="http://purl.org/dc/dcmitype/"/>
  </ds:schemaRefs>
</ds:datastoreItem>
</file>

<file path=customXml/itemProps4.xml><?xml version="1.0" encoding="utf-8"?>
<ds:datastoreItem xmlns:ds="http://schemas.openxmlformats.org/officeDocument/2006/customXml" ds:itemID="{CD5B461F-4717-4F88-A684-1617F5E0DD86}"/>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2025-03-05T21:26:00Z</dcterms:created>
  <dcterms:modified xsi:type="dcterms:W3CDTF">2025-08-11T20:02:00Z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zotero-version="6.0.26"&gt;&lt;session id="Au3cNxn3"/&gt;&lt;style id="http://www.zotero.org/styles/food-and-agriculture-organization-of-the-united-nations" locale="en-US" hasBibliography="1" bibliographyStyleHasBeenSet="1"/&gt;&lt;prefs&gt;&lt;pref name="</vt:lpwstr>
  </property>
  <property fmtid="{D5CDD505-2E9C-101B-9397-08002B2CF9AE}" pid="5" name="ZOTERO_PREF_2">
    <vt:lpwstr>fieldType" value="Field"/&gt;&lt;/prefs&gt;&lt;/data&gt;</vt:lpwstr>
  </property>
</Properties>
</file>