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9"/>
      </w:tblGrid>
      <w:tr w:rsidR="001564A4" w:rsidRPr="0050053A" w14:paraId="5C38377B" w14:textId="77777777" w:rsidTr="005B545E">
        <w:trPr>
          <w:trHeight w:val="1015"/>
          <w:jc w:val="center"/>
        </w:trPr>
        <w:tc>
          <w:tcPr>
            <w:tcW w:w="9269" w:type="dxa"/>
            <w:shd w:val="clear" w:color="auto" w:fill="auto"/>
          </w:tcPr>
          <w:p w14:paraId="5C44F357" w14:textId="58B79965" w:rsidR="001564A4" w:rsidRPr="0050053A" w:rsidRDefault="005B545E" w:rsidP="000A28E2">
            <w:pPr>
              <w:spacing w:before="120" w:after="120"/>
              <w:rPr>
                <w:rFonts w:ascii="Arial" w:hAnsi="Arial" w:cs="Arial"/>
                <w:b/>
                <w:sz w:val="22"/>
                <w:szCs w:val="22"/>
                <w:lang w:val="en-US" w:eastAsia="zh-CN"/>
              </w:rPr>
            </w:pPr>
            <w:r>
              <w:rPr>
                <w:rStyle w:val="normaltextrun"/>
                <w:rFonts w:ascii="Arial" w:hAnsi="Arial" w:cs="Arial"/>
                <w:b/>
                <w:bCs/>
                <w:sz w:val="22"/>
                <w:szCs w:val="22"/>
              </w:rPr>
              <w:t>Towards Virtual Nodule Care (VNC) for the Management of Indeterminate Solitary Pulmonary Nodules (SPN): A Literature Review</w:t>
            </w:r>
          </w:p>
        </w:tc>
      </w:tr>
      <w:tr w:rsidR="001564A4" w:rsidRPr="0050053A" w14:paraId="0E2E035C" w14:textId="77777777" w:rsidTr="005B545E">
        <w:trPr>
          <w:trHeight w:val="1069"/>
          <w:jc w:val="center"/>
        </w:trPr>
        <w:tc>
          <w:tcPr>
            <w:tcW w:w="9269" w:type="dxa"/>
            <w:shd w:val="clear" w:color="auto" w:fill="auto"/>
          </w:tcPr>
          <w:p w14:paraId="73B55295" w14:textId="270DA78D" w:rsidR="001564A4" w:rsidRPr="00413B94" w:rsidRDefault="005B545E" w:rsidP="000A28E2">
            <w:pPr>
              <w:spacing w:before="120" w:after="120"/>
              <w:rPr>
                <w:rFonts w:ascii="Arial" w:hAnsi="Arial" w:cs="Arial"/>
                <w:sz w:val="22"/>
                <w:szCs w:val="22"/>
                <w:u w:val="single"/>
                <w:lang w:eastAsia="zh-CN"/>
              </w:rPr>
            </w:pPr>
            <w:r>
              <w:rPr>
                <w:rFonts w:ascii="Arial" w:hAnsi="Arial" w:cs="Arial"/>
              </w:rPr>
              <w:t>Sara Adham</w:t>
            </w:r>
            <w:r>
              <w:rPr>
                <w:rFonts w:ascii="Arial" w:hAnsi="Arial" w:cs="Arial"/>
                <w:vertAlign w:val="superscript"/>
              </w:rPr>
              <w:t>1</w:t>
            </w:r>
            <w:r>
              <w:rPr>
                <w:rFonts w:ascii="Arial" w:hAnsi="Arial" w:cs="Arial"/>
              </w:rPr>
              <w:t>, Barbara Page</w:t>
            </w:r>
            <w:r>
              <w:rPr>
                <w:rFonts w:ascii="Arial" w:hAnsi="Arial" w:cs="Arial"/>
                <w:vertAlign w:val="superscript"/>
              </w:rPr>
              <w:t>1,2</w:t>
            </w:r>
            <w:r>
              <w:rPr>
                <w:rFonts w:ascii="Arial" w:hAnsi="Arial" w:cs="Arial"/>
              </w:rPr>
              <w:t>, Gerard Olive</w:t>
            </w:r>
            <w:r>
              <w:rPr>
                <w:rFonts w:ascii="Arial" w:hAnsi="Arial" w:cs="Arial"/>
                <w:vertAlign w:val="superscript"/>
              </w:rPr>
              <w:t>1,2</w:t>
            </w:r>
            <w:r>
              <w:rPr>
                <w:rFonts w:ascii="Arial" w:hAnsi="Arial" w:cs="Arial"/>
              </w:rPr>
              <w:t>, Ian Yang</w:t>
            </w:r>
            <w:r>
              <w:rPr>
                <w:rFonts w:ascii="Arial" w:hAnsi="Arial" w:cs="Arial"/>
                <w:vertAlign w:val="superscript"/>
              </w:rPr>
              <w:t>1,2</w:t>
            </w:r>
            <w:r>
              <w:rPr>
                <w:rFonts w:ascii="Arial" w:hAnsi="Arial" w:cs="Arial"/>
              </w:rPr>
              <w:t>, Henry Marshall</w:t>
            </w:r>
            <w:r>
              <w:rPr>
                <w:rFonts w:ascii="Arial" w:hAnsi="Arial" w:cs="Arial"/>
                <w:vertAlign w:val="superscript"/>
              </w:rPr>
              <w:t>1,2</w:t>
            </w:r>
            <w:r>
              <w:rPr>
                <w:rFonts w:ascii="Arial" w:hAnsi="Arial" w:cs="Arial"/>
              </w:rPr>
              <w:t>, Tracy Leong</w:t>
            </w:r>
            <w:r>
              <w:rPr>
                <w:rFonts w:ascii="Arial" w:hAnsi="Arial" w:cs="Arial"/>
                <w:vertAlign w:val="superscript"/>
              </w:rPr>
              <w:t>3</w:t>
            </w:r>
            <w:r>
              <w:rPr>
                <w:rFonts w:ascii="Arial" w:hAnsi="Arial" w:cs="Arial"/>
              </w:rPr>
              <w:t xml:space="preserve">, </w:t>
            </w:r>
            <w:r>
              <w:rPr>
                <w:rFonts w:ascii="Arial" w:hAnsi="Arial" w:cs="Arial"/>
              </w:rPr>
              <w:t>Kwun M Fong</w:t>
            </w:r>
            <w:r>
              <w:rPr>
                <w:rFonts w:ascii="Arial" w:hAnsi="Arial" w:cs="Arial"/>
                <w:vertAlign w:val="superscript"/>
              </w:rPr>
              <w:t>1,2</w:t>
            </w:r>
          </w:p>
        </w:tc>
      </w:tr>
      <w:tr w:rsidR="001564A4" w:rsidRPr="0050053A" w14:paraId="385A19D9" w14:textId="77777777" w:rsidTr="005B545E">
        <w:trPr>
          <w:trHeight w:val="184"/>
          <w:jc w:val="center"/>
        </w:trPr>
        <w:tc>
          <w:tcPr>
            <w:tcW w:w="9269" w:type="dxa"/>
            <w:shd w:val="clear" w:color="auto" w:fill="auto"/>
          </w:tcPr>
          <w:p w14:paraId="1643A330" w14:textId="43EB3897" w:rsidR="001564A4" w:rsidRPr="005B545E" w:rsidRDefault="001564A4" w:rsidP="000A28E2">
            <w:pPr>
              <w:spacing w:before="120" w:after="120"/>
              <w:rPr>
                <w:rFonts w:asciiTheme="minorBidi" w:hAnsiTheme="minorBidi" w:cstheme="minorBidi"/>
                <w:i/>
                <w:iCs/>
                <w:sz w:val="22"/>
                <w:szCs w:val="22"/>
                <w:lang w:val="en-US" w:eastAsia="en-GB"/>
              </w:rPr>
            </w:pPr>
            <w:r w:rsidRPr="0050053A">
              <w:rPr>
                <w:rFonts w:ascii="Arial" w:hAnsi="Arial" w:cs="Arial"/>
                <w:i/>
                <w:sz w:val="22"/>
                <w:szCs w:val="22"/>
                <w:vertAlign w:val="superscript"/>
                <w:lang w:val="en-US" w:eastAsia="en-GB"/>
              </w:rPr>
              <w:t>1</w:t>
            </w:r>
            <w:r w:rsidR="005B545E">
              <w:rPr>
                <w:rFonts w:ascii="Arial" w:hAnsi="Arial" w:cs="Arial"/>
                <w:i/>
                <w:iCs/>
              </w:rPr>
              <w:t xml:space="preserve"> </w:t>
            </w:r>
            <w:r w:rsidR="005B545E" w:rsidRPr="005B545E">
              <w:rPr>
                <w:rFonts w:asciiTheme="minorBidi" w:hAnsiTheme="minorBidi" w:cstheme="minorBidi"/>
                <w:i/>
                <w:iCs/>
                <w:sz w:val="22"/>
                <w:szCs w:val="22"/>
              </w:rPr>
              <w:t>Faculty of Medicine, University of Queensland, Queensland, Australia</w:t>
            </w:r>
          </w:p>
          <w:p w14:paraId="3BD815D8" w14:textId="00DE5F12" w:rsidR="001564A4" w:rsidRPr="005B545E" w:rsidRDefault="001564A4" w:rsidP="005B545E">
            <w:pPr>
              <w:spacing w:before="120" w:after="120"/>
              <w:rPr>
                <w:rFonts w:asciiTheme="minorBidi" w:hAnsiTheme="minorBidi" w:cstheme="minorBidi"/>
                <w:i/>
                <w:iCs/>
                <w:sz w:val="22"/>
                <w:szCs w:val="22"/>
                <w:lang w:val="en-US" w:eastAsia="en-GB"/>
              </w:rPr>
            </w:pPr>
            <w:r w:rsidRPr="005B545E">
              <w:rPr>
                <w:rFonts w:asciiTheme="minorBidi" w:hAnsiTheme="minorBidi" w:cstheme="minorBidi"/>
                <w:i/>
                <w:iCs/>
                <w:sz w:val="22"/>
                <w:szCs w:val="22"/>
                <w:vertAlign w:val="superscript"/>
                <w:lang w:val="en-US" w:eastAsia="en-GB"/>
              </w:rPr>
              <w:t>2</w:t>
            </w:r>
            <w:r w:rsidR="005B545E" w:rsidRPr="005B545E">
              <w:rPr>
                <w:rFonts w:asciiTheme="minorBidi" w:hAnsiTheme="minorBidi" w:cstheme="minorBidi"/>
                <w:i/>
                <w:iCs/>
                <w:sz w:val="22"/>
                <w:szCs w:val="22"/>
              </w:rPr>
              <w:t xml:space="preserve"> </w:t>
            </w:r>
            <w:r w:rsidR="005B545E" w:rsidRPr="005B545E">
              <w:rPr>
                <w:rFonts w:asciiTheme="minorBidi" w:hAnsiTheme="minorBidi" w:cstheme="minorBidi"/>
                <w:i/>
                <w:iCs/>
                <w:sz w:val="22"/>
                <w:szCs w:val="22"/>
              </w:rPr>
              <w:t>Department of Thoracic Medicine, The Prince Charles Hospital (TPCH), Queensland, Australia</w:t>
            </w:r>
            <w:r w:rsidRPr="005B545E">
              <w:rPr>
                <w:rFonts w:asciiTheme="minorBidi" w:hAnsiTheme="minorBidi" w:cstheme="minorBidi"/>
                <w:i/>
                <w:iCs/>
                <w:sz w:val="22"/>
                <w:szCs w:val="22"/>
                <w:lang w:val="en-US" w:eastAsia="en-GB"/>
              </w:rPr>
              <w:t xml:space="preserve"> </w:t>
            </w:r>
          </w:p>
          <w:p w14:paraId="6BCADC27" w14:textId="4EC3DFDF" w:rsidR="001564A4" w:rsidRPr="005B545E" w:rsidRDefault="001564A4" w:rsidP="000A28E2">
            <w:pPr>
              <w:spacing w:before="120" w:after="120"/>
              <w:rPr>
                <w:rFonts w:asciiTheme="minorBidi" w:hAnsiTheme="minorBidi" w:cstheme="minorBidi"/>
                <w:i/>
                <w:iCs/>
                <w:sz w:val="22"/>
                <w:szCs w:val="22"/>
                <w:lang w:val="en-US" w:eastAsia="en-GB"/>
              </w:rPr>
            </w:pPr>
            <w:r w:rsidRPr="005B545E">
              <w:rPr>
                <w:rFonts w:asciiTheme="minorBidi" w:hAnsiTheme="minorBidi" w:cstheme="minorBidi"/>
                <w:i/>
                <w:iCs/>
                <w:sz w:val="22"/>
                <w:szCs w:val="22"/>
                <w:vertAlign w:val="superscript"/>
                <w:lang w:val="en-US" w:eastAsia="en-GB"/>
              </w:rPr>
              <w:t>3</w:t>
            </w:r>
            <w:r w:rsidR="005B545E" w:rsidRPr="005B545E">
              <w:rPr>
                <w:rFonts w:asciiTheme="minorBidi" w:hAnsiTheme="minorBidi" w:cstheme="minorBidi"/>
                <w:i/>
                <w:iCs/>
                <w:sz w:val="22"/>
                <w:szCs w:val="22"/>
              </w:rPr>
              <w:t xml:space="preserve"> </w:t>
            </w:r>
            <w:r w:rsidR="005B545E" w:rsidRPr="005B545E">
              <w:rPr>
                <w:rFonts w:asciiTheme="minorBidi" w:hAnsiTheme="minorBidi" w:cstheme="minorBidi"/>
                <w:i/>
                <w:iCs/>
                <w:sz w:val="22"/>
                <w:szCs w:val="22"/>
              </w:rPr>
              <w:t>Austin Health, Heidelberg, VIC</w:t>
            </w:r>
          </w:p>
          <w:p w14:paraId="45ED36BF" w14:textId="6DF1EC4F" w:rsidR="001564A4" w:rsidRPr="0050053A" w:rsidRDefault="001564A4" w:rsidP="000A28E2">
            <w:pPr>
              <w:spacing w:before="120" w:after="120"/>
              <w:rPr>
                <w:rFonts w:ascii="Arial" w:hAnsi="Arial" w:cs="Arial"/>
                <w:i/>
                <w:sz w:val="22"/>
                <w:szCs w:val="22"/>
                <w:lang w:val="en-US" w:eastAsia="en-GB"/>
              </w:rPr>
            </w:pPr>
          </w:p>
        </w:tc>
      </w:tr>
      <w:tr w:rsidR="001564A4" w:rsidRPr="0050053A" w14:paraId="6DAF615A" w14:textId="77777777" w:rsidTr="005B545E">
        <w:trPr>
          <w:trHeight w:hRule="exact" w:val="9957"/>
          <w:jc w:val="center"/>
        </w:trPr>
        <w:tc>
          <w:tcPr>
            <w:tcW w:w="9269" w:type="dxa"/>
            <w:shd w:val="clear" w:color="auto" w:fill="auto"/>
          </w:tcPr>
          <w:p w14:paraId="50A50B3B" w14:textId="77777777" w:rsidR="005B545E" w:rsidRDefault="001564A4" w:rsidP="005B545E">
            <w:pPr>
              <w:pStyle w:val="Pa12"/>
              <w:rPr>
                <w:rStyle w:val="A4"/>
                <w:b/>
                <w:bCs/>
              </w:rPr>
            </w:pPr>
            <w:r>
              <w:rPr>
                <w:rStyle w:val="A4"/>
                <w:b/>
                <w:bCs/>
              </w:rPr>
              <w:t>Introduction/</w:t>
            </w:r>
            <w:r w:rsidRPr="0050053A">
              <w:rPr>
                <w:rStyle w:val="A4"/>
                <w:b/>
                <w:bCs/>
              </w:rPr>
              <w:t xml:space="preserve">Aim: </w:t>
            </w:r>
            <w:r w:rsidR="005B545E" w:rsidRPr="00165647">
              <w:rPr>
                <w:rFonts w:asciiTheme="minorBidi" w:hAnsiTheme="minorBidi" w:cstheme="minorBidi"/>
                <w:sz w:val="22"/>
                <w:szCs w:val="22"/>
              </w:rPr>
              <w:t xml:space="preserve">With increasing detection of indeterminate Solitary Pulmonary Nodules (SPN), conventional outpatient service delivery may be insufficient. Alternatively, patients referred with SPN could potentially be managed in a virtual nodule clinic (VNC) telehealth model. </w:t>
            </w:r>
            <w:r w:rsidR="005B545E" w:rsidRPr="00165647">
              <w:rPr>
                <w:rFonts w:asciiTheme="minorBidi" w:hAnsiTheme="minorBidi" w:cstheme="minorBidi"/>
                <w:sz w:val="22"/>
                <w:szCs w:val="22"/>
                <w:lang w:val="en-US"/>
              </w:rPr>
              <w:t> </w:t>
            </w:r>
            <w:r>
              <w:rPr>
                <w:sz w:val="22"/>
                <w:szCs w:val="22"/>
              </w:rPr>
              <w:br/>
            </w:r>
          </w:p>
          <w:p w14:paraId="4EB97AF5" w14:textId="18820FCE" w:rsidR="005B545E" w:rsidRDefault="001564A4" w:rsidP="005B545E">
            <w:pPr>
              <w:pStyle w:val="Pa12"/>
              <w:rPr>
                <w:rStyle w:val="A4"/>
                <w:b/>
                <w:bCs/>
              </w:rPr>
            </w:pPr>
            <w:r w:rsidRPr="0050053A">
              <w:rPr>
                <w:rStyle w:val="A4"/>
                <w:b/>
                <w:bCs/>
              </w:rPr>
              <w:t>Method</w:t>
            </w:r>
            <w:r>
              <w:rPr>
                <w:rStyle w:val="A4"/>
                <w:b/>
                <w:bCs/>
              </w:rPr>
              <w:t>s</w:t>
            </w:r>
            <w:r w:rsidRPr="0050053A">
              <w:rPr>
                <w:rStyle w:val="A4"/>
                <w:b/>
                <w:bCs/>
              </w:rPr>
              <w:t xml:space="preserve">: </w:t>
            </w:r>
            <w:r w:rsidR="005B545E" w:rsidRPr="00165647">
              <w:rPr>
                <w:rFonts w:asciiTheme="minorBidi" w:hAnsiTheme="minorBidi" w:cstheme="minorBidi"/>
                <w:sz w:val="22"/>
                <w:szCs w:val="22"/>
              </w:rPr>
              <w:t xml:space="preserve">We systematically reviewed the literature for VNC effectiveness, by searching EMBASE, CINAHL and Medline databases for articles/abstracts using terms: solitary pulmonary nodule; multidisciplinary team; computer tomography; telehealth OR virtual care OR virtual management, which was extended by pearling. A narrative synthesis was performed due to limited data and heterogeneity.  </w:t>
            </w:r>
            <w:r w:rsidR="005B545E" w:rsidRPr="00165647">
              <w:rPr>
                <w:rFonts w:asciiTheme="minorBidi" w:hAnsiTheme="minorBidi" w:cstheme="minorBidi"/>
                <w:sz w:val="22"/>
                <w:szCs w:val="22"/>
                <w:lang w:val="en-US"/>
              </w:rPr>
              <w:t> </w:t>
            </w:r>
            <w:r>
              <w:rPr>
                <w:sz w:val="22"/>
                <w:szCs w:val="22"/>
              </w:rPr>
              <w:br/>
            </w:r>
          </w:p>
          <w:p w14:paraId="68537800" w14:textId="481452CE" w:rsidR="001564A4" w:rsidRPr="005B545E" w:rsidRDefault="001564A4" w:rsidP="005B545E">
            <w:pPr>
              <w:pStyle w:val="Pa12"/>
              <w:rPr>
                <w:rStyle w:val="A4"/>
              </w:rPr>
            </w:pPr>
            <w:r w:rsidRPr="0050053A">
              <w:rPr>
                <w:rStyle w:val="A4"/>
                <w:b/>
                <w:bCs/>
              </w:rPr>
              <w:t xml:space="preserve">Results: </w:t>
            </w:r>
            <w:r w:rsidR="005B545E" w:rsidRPr="00165647">
              <w:rPr>
                <w:rFonts w:asciiTheme="minorBidi" w:hAnsiTheme="minorBidi" w:cstheme="minorBidi"/>
                <w:sz w:val="22"/>
                <w:szCs w:val="22"/>
              </w:rPr>
              <w:t>21 studies met inclusion criteria, reporting diverse outcome measures, including surveys of patient satisfaction, guideline adherence and healthcare costs. Generally, virtual follow up was associated with higher rates of patient satisfaction. Three studies assessed adherence to Fleischner guidelines; (</w:t>
            </w:r>
            <w:proofErr w:type="spellStart"/>
            <w:r w:rsidR="005B545E" w:rsidRPr="00165647">
              <w:rPr>
                <w:rFonts w:asciiTheme="minorBidi" w:hAnsiTheme="minorBidi" w:cstheme="minorBidi"/>
                <w:sz w:val="22"/>
                <w:szCs w:val="22"/>
              </w:rPr>
              <w:t>i</w:t>
            </w:r>
            <w:proofErr w:type="spellEnd"/>
            <w:r w:rsidR="005B545E" w:rsidRPr="00165647">
              <w:rPr>
                <w:rFonts w:asciiTheme="minorBidi" w:hAnsiTheme="minorBidi" w:cstheme="minorBidi"/>
                <w:sz w:val="22"/>
                <w:szCs w:val="22"/>
              </w:rPr>
              <w:t>) 40% of clinicians (n=50) were guideline-concordant in the current model, compared to 92% (n=49) in the VNC model; (ii) (n=365) showed that 43.8% were discharged after the first evaluation, with 66.9% previously receiving follow-up per guidelines, (iii) (n=319), 40.3% of patients were discharged after initial evaluation. In the remaining studies, four described the cost-effectiveness of VNCs; (</w:t>
            </w:r>
            <w:proofErr w:type="spellStart"/>
            <w:r w:rsidR="005B545E" w:rsidRPr="00165647">
              <w:rPr>
                <w:rFonts w:asciiTheme="minorBidi" w:hAnsiTheme="minorBidi" w:cstheme="minorBidi"/>
                <w:sz w:val="22"/>
                <w:szCs w:val="22"/>
              </w:rPr>
              <w:t>i</w:t>
            </w:r>
            <w:proofErr w:type="spellEnd"/>
            <w:r w:rsidR="005B545E" w:rsidRPr="00165647">
              <w:rPr>
                <w:rFonts w:asciiTheme="minorBidi" w:hAnsiTheme="minorBidi" w:cstheme="minorBidi"/>
                <w:sz w:val="22"/>
                <w:szCs w:val="22"/>
              </w:rPr>
              <w:t xml:space="preserve">) (n=57) reported a median cost per patient per review of $134.30 in the VNC compared to $282.06 in usual care; (ii)  (n=157) found that a cost per episode for virtual consultations of $120, 47.4% less than in-person consultations; (iii) (n=21) demonstrated cost savings with telephone consultations, with reduced travel time and cost for patients; (iv) (n=97) showed cost savings of £83.13 per patient per review. </w:t>
            </w:r>
            <w:r w:rsidR="005B545E" w:rsidRPr="00165647">
              <w:rPr>
                <w:rFonts w:asciiTheme="minorBidi" w:hAnsiTheme="minorBidi" w:cstheme="minorBidi"/>
                <w:sz w:val="22"/>
                <w:szCs w:val="22"/>
                <w:lang w:val="en-US"/>
              </w:rPr>
              <w:t> </w:t>
            </w:r>
            <w:r w:rsidR="005B545E" w:rsidRPr="00165647">
              <w:rPr>
                <w:rFonts w:asciiTheme="minorBidi" w:hAnsiTheme="minorBidi" w:cstheme="minorBidi"/>
                <w:sz w:val="22"/>
                <w:szCs w:val="22"/>
              </w:rPr>
              <w:t>Out of the 21 articles reviewed, 6 were abstracts with no access to the full text, introducing a potential risk of bias.</w:t>
            </w:r>
            <w:r w:rsidR="005B545E" w:rsidRPr="00165647">
              <w:rPr>
                <w:rFonts w:asciiTheme="minorBidi" w:hAnsiTheme="minorBidi" w:cstheme="minorBidi"/>
                <w:sz w:val="22"/>
                <w:szCs w:val="22"/>
                <w:lang w:val="en-US"/>
              </w:rPr>
              <w:t> </w:t>
            </w:r>
          </w:p>
          <w:p w14:paraId="44A6A4FD" w14:textId="77777777" w:rsidR="005B545E" w:rsidRDefault="005B545E" w:rsidP="005B545E">
            <w:pPr>
              <w:pStyle w:val="Pa12"/>
              <w:rPr>
                <w:rStyle w:val="A4"/>
                <w:b/>
                <w:bCs/>
              </w:rPr>
            </w:pPr>
          </w:p>
          <w:p w14:paraId="69B04572" w14:textId="5B00B182" w:rsidR="001564A4" w:rsidRPr="005B545E" w:rsidRDefault="001564A4" w:rsidP="005B545E">
            <w:pPr>
              <w:pStyle w:val="Pa12"/>
              <w:rPr>
                <w:b/>
                <w:bCs/>
                <w:color w:val="000000"/>
                <w:sz w:val="22"/>
                <w:szCs w:val="22"/>
              </w:rPr>
            </w:pPr>
            <w:r w:rsidRPr="0050053A">
              <w:rPr>
                <w:rStyle w:val="A4"/>
                <w:b/>
                <w:bCs/>
              </w:rPr>
              <w:t xml:space="preserve">Conclusion: </w:t>
            </w:r>
            <w:r w:rsidR="005B545E" w:rsidRPr="00165647">
              <w:rPr>
                <w:rFonts w:asciiTheme="minorBidi" w:hAnsiTheme="minorBidi" w:cstheme="minorBidi"/>
                <w:sz w:val="22"/>
                <w:szCs w:val="22"/>
              </w:rPr>
              <w:t xml:space="preserve">The widespread use of virtual platforms presents an opportunity for broader implementation of hybrid and adaptable patient care. Further research is needed to explore the applicability and utility of VNC within the healthcare system. </w:t>
            </w:r>
            <w:r w:rsidR="005B545E" w:rsidRPr="00165647">
              <w:rPr>
                <w:rFonts w:asciiTheme="minorBidi" w:hAnsiTheme="minorBidi" w:cstheme="minorBidi"/>
                <w:sz w:val="22"/>
                <w:szCs w:val="22"/>
                <w:lang w:val="en-US"/>
              </w:rPr>
              <w:t> </w:t>
            </w:r>
          </w:p>
          <w:p w14:paraId="42C4F1EE" w14:textId="77777777" w:rsidR="005B545E" w:rsidRDefault="005B545E" w:rsidP="005B545E">
            <w:pPr>
              <w:pStyle w:val="Pa12"/>
            </w:pPr>
          </w:p>
          <w:p w14:paraId="0ED17F1A" w14:textId="4AC6AC18" w:rsidR="005B545E" w:rsidRPr="005B545E" w:rsidRDefault="001564A4" w:rsidP="005B545E">
            <w:pPr>
              <w:pStyle w:val="Pa12"/>
              <w:rPr>
                <w:bCs/>
                <w:color w:val="000000"/>
                <w:sz w:val="22"/>
                <w:szCs w:val="22"/>
              </w:rPr>
            </w:pPr>
            <w:r w:rsidRPr="0050053A">
              <w:rPr>
                <w:rStyle w:val="A4"/>
                <w:b/>
                <w:bCs/>
              </w:rPr>
              <w:t xml:space="preserve">Grant Support: </w:t>
            </w:r>
            <w:r w:rsidR="005B545E">
              <w:rPr>
                <w:sz w:val="22"/>
                <w:szCs w:val="22"/>
              </w:rPr>
              <w:t>None</w:t>
            </w:r>
            <w:r>
              <w:rPr>
                <w:sz w:val="22"/>
                <w:szCs w:val="22"/>
              </w:rPr>
              <w:br/>
            </w:r>
            <w:r w:rsidR="005B545E" w:rsidRPr="005B545E">
              <w:rPr>
                <w:b/>
                <w:bCs/>
                <w:sz w:val="22"/>
                <w:szCs w:val="22"/>
              </w:rPr>
              <w:t>Declaration of Interest:</w:t>
            </w:r>
            <w:r w:rsidR="005B545E">
              <w:rPr>
                <w:sz w:val="22"/>
                <w:szCs w:val="22"/>
              </w:rPr>
              <w:t xml:space="preserve"> No conflicts of Interest</w:t>
            </w:r>
          </w:p>
          <w:p w14:paraId="033A33C3" w14:textId="77777777" w:rsidR="005B545E" w:rsidRDefault="005B545E" w:rsidP="005B545E">
            <w:pPr>
              <w:pStyle w:val="Pa12"/>
              <w:rPr>
                <w:sz w:val="22"/>
                <w:szCs w:val="22"/>
              </w:rPr>
            </w:pPr>
            <w:r w:rsidRPr="005B545E">
              <w:rPr>
                <w:b/>
                <w:bCs/>
                <w:sz w:val="22"/>
                <w:szCs w:val="22"/>
              </w:rPr>
              <w:t>Key words:</w:t>
            </w:r>
            <w:r>
              <w:rPr>
                <w:sz w:val="22"/>
                <w:szCs w:val="22"/>
              </w:rPr>
              <w:t xml:space="preserve"> Telehealth, Virtual Nodule Clinic, Pulmonary Nodules</w:t>
            </w:r>
          </w:p>
          <w:p w14:paraId="01C84856" w14:textId="77777777" w:rsidR="005B545E" w:rsidRDefault="005B545E" w:rsidP="005B545E">
            <w:pPr>
              <w:pStyle w:val="Pa12"/>
              <w:rPr>
                <w:rStyle w:val="eop"/>
                <w:sz w:val="22"/>
                <w:szCs w:val="22"/>
              </w:rPr>
            </w:pPr>
            <w:r>
              <w:rPr>
                <w:rStyle w:val="normaltextrun"/>
                <w:b/>
                <w:bCs/>
                <w:sz w:val="22"/>
                <w:szCs w:val="22"/>
              </w:rPr>
              <w:t>Approved abbreviations</w:t>
            </w:r>
            <w:r>
              <w:rPr>
                <w:rStyle w:val="eop"/>
                <w:sz w:val="22"/>
                <w:szCs w:val="22"/>
              </w:rPr>
              <w:t> </w:t>
            </w:r>
            <w:r>
              <w:rPr>
                <w:rStyle w:val="normaltextrun"/>
                <w:sz w:val="22"/>
                <w:szCs w:val="22"/>
              </w:rPr>
              <w:t>VNC: Virtual Nodule Clinic</w:t>
            </w:r>
            <w:r>
              <w:rPr>
                <w:rStyle w:val="eop"/>
                <w:sz w:val="22"/>
                <w:szCs w:val="22"/>
              </w:rPr>
              <w:t xml:space="preserve">, </w:t>
            </w:r>
            <w:r>
              <w:rPr>
                <w:rStyle w:val="normaltextrun"/>
                <w:sz w:val="22"/>
                <w:szCs w:val="22"/>
              </w:rPr>
              <w:t>SPN: Solitary Pulmonary Nodule</w:t>
            </w:r>
            <w:r>
              <w:rPr>
                <w:rStyle w:val="eop"/>
                <w:sz w:val="22"/>
                <w:szCs w:val="22"/>
              </w:rPr>
              <w:t> </w:t>
            </w:r>
          </w:p>
          <w:p w14:paraId="47759DD0" w14:textId="40727391" w:rsidR="005B545E" w:rsidRPr="005B545E" w:rsidRDefault="005B545E" w:rsidP="005B545E">
            <w:pPr>
              <w:pStyle w:val="Pa12"/>
              <w:rPr>
                <w:sz w:val="22"/>
                <w:szCs w:val="22"/>
              </w:rPr>
            </w:pPr>
            <w:r>
              <w:rPr>
                <w:rStyle w:val="normaltextrun"/>
                <w:b/>
                <w:bCs/>
                <w:sz w:val="22"/>
                <w:szCs w:val="22"/>
              </w:rPr>
              <w:t>Co-authors</w:t>
            </w:r>
            <w:r>
              <w:rPr>
                <w:rStyle w:val="eop"/>
                <w:sz w:val="22"/>
                <w:szCs w:val="22"/>
              </w:rPr>
              <w:t> </w:t>
            </w:r>
            <w:r>
              <w:rPr>
                <w:rStyle w:val="normaltextrun"/>
                <w:sz w:val="22"/>
                <w:szCs w:val="22"/>
              </w:rPr>
              <w:t>Submission of this abstract has been approved by all co-authors.</w:t>
            </w:r>
            <w:r>
              <w:rPr>
                <w:rStyle w:val="eop"/>
                <w:sz w:val="22"/>
                <w:szCs w:val="22"/>
              </w:rPr>
              <w:t> </w:t>
            </w:r>
          </w:p>
          <w:p w14:paraId="7F8381F0" w14:textId="3487B051"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51574E"/>
    <w:rsid w:val="005B545E"/>
    <w:rsid w:val="008803FA"/>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customStyle="1" w:styleId="normaltextrun">
    <w:name w:val="normaltextrun"/>
    <w:basedOn w:val="DefaultParagraphFont"/>
    <w:rsid w:val="005B545E"/>
  </w:style>
  <w:style w:type="paragraph" w:customStyle="1" w:styleId="paragraph">
    <w:name w:val="paragraph"/>
    <w:basedOn w:val="Normal"/>
    <w:rsid w:val="005B545E"/>
    <w:pPr>
      <w:spacing w:before="100" w:beforeAutospacing="1" w:after="100" w:afterAutospacing="1"/>
    </w:pPr>
    <w:rPr>
      <w:lang w:val="en-AU" w:eastAsia="en-AU"/>
    </w:rPr>
  </w:style>
  <w:style w:type="character" w:customStyle="1" w:styleId="eop">
    <w:name w:val="eop"/>
    <w:basedOn w:val="DefaultParagraphFont"/>
    <w:rsid w:val="005B5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25700">
      <w:bodyDiv w:val="1"/>
      <w:marLeft w:val="0"/>
      <w:marRight w:val="0"/>
      <w:marTop w:val="0"/>
      <w:marBottom w:val="0"/>
      <w:divBdr>
        <w:top w:val="none" w:sz="0" w:space="0" w:color="auto"/>
        <w:left w:val="none" w:sz="0" w:space="0" w:color="auto"/>
        <w:bottom w:val="none" w:sz="0" w:space="0" w:color="auto"/>
        <w:right w:val="none" w:sz="0" w:space="0" w:color="auto"/>
      </w:divBdr>
      <w:divsChild>
        <w:div w:id="200752239">
          <w:marLeft w:val="0"/>
          <w:marRight w:val="0"/>
          <w:marTop w:val="0"/>
          <w:marBottom w:val="0"/>
          <w:divBdr>
            <w:top w:val="none" w:sz="0" w:space="0" w:color="auto"/>
            <w:left w:val="none" w:sz="0" w:space="0" w:color="auto"/>
            <w:bottom w:val="none" w:sz="0" w:space="0" w:color="auto"/>
            <w:right w:val="none" w:sz="0" w:space="0" w:color="auto"/>
          </w:divBdr>
          <w:divsChild>
            <w:div w:id="557278904">
              <w:marLeft w:val="0"/>
              <w:marRight w:val="0"/>
              <w:marTop w:val="0"/>
              <w:marBottom w:val="0"/>
              <w:divBdr>
                <w:top w:val="none" w:sz="0" w:space="0" w:color="auto"/>
                <w:left w:val="none" w:sz="0" w:space="0" w:color="auto"/>
                <w:bottom w:val="none" w:sz="0" w:space="0" w:color="auto"/>
                <w:right w:val="none" w:sz="0" w:space="0" w:color="auto"/>
              </w:divBdr>
            </w:div>
            <w:div w:id="1163622833">
              <w:marLeft w:val="0"/>
              <w:marRight w:val="0"/>
              <w:marTop w:val="0"/>
              <w:marBottom w:val="0"/>
              <w:divBdr>
                <w:top w:val="none" w:sz="0" w:space="0" w:color="auto"/>
                <w:left w:val="none" w:sz="0" w:space="0" w:color="auto"/>
                <w:bottom w:val="none" w:sz="0" w:space="0" w:color="auto"/>
                <w:right w:val="none" w:sz="0" w:space="0" w:color="auto"/>
              </w:divBdr>
            </w:div>
            <w:div w:id="913204172">
              <w:marLeft w:val="0"/>
              <w:marRight w:val="0"/>
              <w:marTop w:val="0"/>
              <w:marBottom w:val="0"/>
              <w:divBdr>
                <w:top w:val="none" w:sz="0" w:space="0" w:color="auto"/>
                <w:left w:val="none" w:sz="0" w:space="0" w:color="auto"/>
                <w:bottom w:val="none" w:sz="0" w:space="0" w:color="auto"/>
                <w:right w:val="none" w:sz="0" w:space="0" w:color="auto"/>
              </w:divBdr>
            </w:div>
            <w:div w:id="532495572">
              <w:marLeft w:val="0"/>
              <w:marRight w:val="0"/>
              <w:marTop w:val="0"/>
              <w:marBottom w:val="0"/>
              <w:divBdr>
                <w:top w:val="none" w:sz="0" w:space="0" w:color="auto"/>
                <w:left w:val="none" w:sz="0" w:space="0" w:color="auto"/>
                <w:bottom w:val="none" w:sz="0" w:space="0" w:color="auto"/>
                <w:right w:val="none" w:sz="0" w:space="0" w:color="auto"/>
              </w:divBdr>
            </w:div>
            <w:div w:id="912660871">
              <w:marLeft w:val="0"/>
              <w:marRight w:val="0"/>
              <w:marTop w:val="0"/>
              <w:marBottom w:val="0"/>
              <w:divBdr>
                <w:top w:val="none" w:sz="0" w:space="0" w:color="auto"/>
                <w:left w:val="none" w:sz="0" w:space="0" w:color="auto"/>
                <w:bottom w:val="none" w:sz="0" w:space="0" w:color="auto"/>
                <w:right w:val="none" w:sz="0" w:space="0" w:color="auto"/>
              </w:divBdr>
            </w:div>
            <w:div w:id="1427649247">
              <w:marLeft w:val="0"/>
              <w:marRight w:val="0"/>
              <w:marTop w:val="0"/>
              <w:marBottom w:val="0"/>
              <w:divBdr>
                <w:top w:val="none" w:sz="0" w:space="0" w:color="auto"/>
                <w:left w:val="none" w:sz="0" w:space="0" w:color="auto"/>
                <w:bottom w:val="none" w:sz="0" w:space="0" w:color="auto"/>
                <w:right w:val="none" w:sz="0" w:space="0" w:color="auto"/>
              </w:divBdr>
            </w:div>
            <w:div w:id="767164820">
              <w:marLeft w:val="0"/>
              <w:marRight w:val="0"/>
              <w:marTop w:val="0"/>
              <w:marBottom w:val="0"/>
              <w:divBdr>
                <w:top w:val="none" w:sz="0" w:space="0" w:color="auto"/>
                <w:left w:val="none" w:sz="0" w:space="0" w:color="auto"/>
                <w:bottom w:val="none" w:sz="0" w:space="0" w:color="auto"/>
                <w:right w:val="none" w:sz="0" w:space="0" w:color="auto"/>
              </w:divBdr>
            </w:div>
            <w:div w:id="193925128">
              <w:marLeft w:val="0"/>
              <w:marRight w:val="0"/>
              <w:marTop w:val="0"/>
              <w:marBottom w:val="0"/>
              <w:divBdr>
                <w:top w:val="none" w:sz="0" w:space="0" w:color="auto"/>
                <w:left w:val="none" w:sz="0" w:space="0" w:color="auto"/>
                <w:bottom w:val="none" w:sz="0" w:space="0" w:color="auto"/>
                <w:right w:val="none" w:sz="0" w:space="0" w:color="auto"/>
              </w:divBdr>
            </w:div>
            <w:div w:id="352657129">
              <w:marLeft w:val="0"/>
              <w:marRight w:val="0"/>
              <w:marTop w:val="0"/>
              <w:marBottom w:val="0"/>
              <w:divBdr>
                <w:top w:val="none" w:sz="0" w:space="0" w:color="auto"/>
                <w:left w:val="none" w:sz="0" w:space="0" w:color="auto"/>
                <w:bottom w:val="none" w:sz="0" w:space="0" w:color="auto"/>
                <w:right w:val="none" w:sz="0" w:space="0" w:color="auto"/>
              </w:divBdr>
            </w:div>
            <w:div w:id="1517882765">
              <w:marLeft w:val="0"/>
              <w:marRight w:val="0"/>
              <w:marTop w:val="0"/>
              <w:marBottom w:val="0"/>
              <w:divBdr>
                <w:top w:val="none" w:sz="0" w:space="0" w:color="auto"/>
                <w:left w:val="none" w:sz="0" w:space="0" w:color="auto"/>
                <w:bottom w:val="none" w:sz="0" w:space="0" w:color="auto"/>
                <w:right w:val="none" w:sz="0" w:space="0" w:color="auto"/>
              </w:divBdr>
            </w:div>
            <w:div w:id="1864240969">
              <w:marLeft w:val="0"/>
              <w:marRight w:val="0"/>
              <w:marTop w:val="0"/>
              <w:marBottom w:val="0"/>
              <w:divBdr>
                <w:top w:val="none" w:sz="0" w:space="0" w:color="auto"/>
                <w:left w:val="none" w:sz="0" w:space="0" w:color="auto"/>
                <w:bottom w:val="none" w:sz="0" w:space="0" w:color="auto"/>
                <w:right w:val="none" w:sz="0" w:space="0" w:color="auto"/>
              </w:divBdr>
            </w:div>
            <w:div w:id="1873569231">
              <w:marLeft w:val="0"/>
              <w:marRight w:val="0"/>
              <w:marTop w:val="0"/>
              <w:marBottom w:val="0"/>
              <w:divBdr>
                <w:top w:val="none" w:sz="0" w:space="0" w:color="auto"/>
                <w:left w:val="none" w:sz="0" w:space="0" w:color="auto"/>
                <w:bottom w:val="none" w:sz="0" w:space="0" w:color="auto"/>
                <w:right w:val="none" w:sz="0" w:space="0" w:color="auto"/>
              </w:divBdr>
            </w:div>
            <w:div w:id="15832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6012">
      <w:bodyDiv w:val="1"/>
      <w:marLeft w:val="0"/>
      <w:marRight w:val="0"/>
      <w:marTop w:val="0"/>
      <w:marBottom w:val="0"/>
      <w:divBdr>
        <w:top w:val="none" w:sz="0" w:space="0" w:color="auto"/>
        <w:left w:val="none" w:sz="0" w:space="0" w:color="auto"/>
        <w:bottom w:val="none" w:sz="0" w:space="0" w:color="auto"/>
        <w:right w:val="none" w:sz="0" w:space="0" w:color="auto"/>
      </w:divBdr>
      <w:divsChild>
        <w:div w:id="583495975">
          <w:marLeft w:val="0"/>
          <w:marRight w:val="0"/>
          <w:marTop w:val="0"/>
          <w:marBottom w:val="0"/>
          <w:divBdr>
            <w:top w:val="none" w:sz="0" w:space="0" w:color="auto"/>
            <w:left w:val="none" w:sz="0" w:space="0" w:color="auto"/>
            <w:bottom w:val="none" w:sz="0" w:space="0" w:color="auto"/>
            <w:right w:val="none" w:sz="0" w:space="0" w:color="auto"/>
          </w:divBdr>
          <w:divsChild>
            <w:div w:id="1774325698">
              <w:marLeft w:val="0"/>
              <w:marRight w:val="0"/>
              <w:marTop w:val="0"/>
              <w:marBottom w:val="0"/>
              <w:divBdr>
                <w:top w:val="none" w:sz="0" w:space="0" w:color="auto"/>
                <w:left w:val="none" w:sz="0" w:space="0" w:color="auto"/>
                <w:bottom w:val="none" w:sz="0" w:space="0" w:color="auto"/>
                <w:right w:val="none" w:sz="0" w:space="0" w:color="auto"/>
              </w:divBdr>
            </w:div>
            <w:div w:id="618995583">
              <w:marLeft w:val="0"/>
              <w:marRight w:val="0"/>
              <w:marTop w:val="0"/>
              <w:marBottom w:val="0"/>
              <w:divBdr>
                <w:top w:val="none" w:sz="0" w:space="0" w:color="auto"/>
                <w:left w:val="none" w:sz="0" w:space="0" w:color="auto"/>
                <w:bottom w:val="none" w:sz="0" w:space="0" w:color="auto"/>
                <w:right w:val="none" w:sz="0" w:space="0" w:color="auto"/>
              </w:divBdr>
            </w:div>
            <w:div w:id="1742673513">
              <w:marLeft w:val="0"/>
              <w:marRight w:val="0"/>
              <w:marTop w:val="0"/>
              <w:marBottom w:val="0"/>
              <w:divBdr>
                <w:top w:val="none" w:sz="0" w:space="0" w:color="auto"/>
                <w:left w:val="none" w:sz="0" w:space="0" w:color="auto"/>
                <w:bottom w:val="none" w:sz="0" w:space="0" w:color="auto"/>
                <w:right w:val="none" w:sz="0" w:space="0" w:color="auto"/>
              </w:divBdr>
            </w:div>
            <w:div w:id="965113750">
              <w:marLeft w:val="0"/>
              <w:marRight w:val="0"/>
              <w:marTop w:val="0"/>
              <w:marBottom w:val="0"/>
              <w:divBdr>
                <w:top w:val="none" w:sz="0" w:space="0" w:color="auto"/>
                <w:left w:val="none" w:sz="0" w:space="0" w:color="auto"/>
                <w:bottom w:val="none" w:sz="0" w:space="0" w:color="auto"/>
                <w:right w:val="none" w:sz="0" w:space="0" w:color="auto"/>
              </w:divBdr>
            </w:div>
            <w:div w:id="1811558188">
              <w:marLeft w:val="0"/>
              <w:marRight w:val="0"/>
              <w:marTop w:val="0"/>
              <w:marBottom w:val="0"/>
              <w:divBdr>
                <w:top w:val="none" w:sz="0" w:space="0" w:color="auto"/>
                <w:left w:val="none" w:sz="0" w:space="0" w:color="auto"/>
                <w:bottom w:val="none" w:sz="0" w:space="0" w:color="auto"/>
                <w:right w:val="none" w:sz="0" w:space="0" w:color="auto"/>
              </w:divBdr>
            </w:div>
            <w:div w:id="1107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3393">
      <w:bodyDiv w:val="1"/>
      <w:marLeft w:val="0"/>
      <w:marRight w:val="0"/>
      <w:marTop w:val="0"/>
      <w:marBottom w:val="0"/>
      <w:divBdr>
        <w:top w:val="none" w:sz="0" w:space="0" w:color="auto"/>
        <w:left w:val="none" w:sz="0" w:space="0" w:color="auto"/>
        <w:bottom w:val="none" w:sz="0" w:space="0" w:color="auto"/>
        <w:right w:val="none" w:sz="0" w:space="0" w:color="auto"/>
      </w:divBdr>
      <w:divsChild>
        <w:div w:id="2101024739">
          <w:marLeft w:val="0"/>
          <w:marRight w:val="0"/>
          <w:marTop w:val="0"/>
          <w:marBottom w:val="0"/>
          <w:divBdr>
            <w:top w:val="none" w:sz="0" w:space="0" w:color="auto"/>
            <w:left w:val="none" w:sz="0" w:space="0" w:color="auto"/>
            <w:bottom w:val="none" w:sz="0" w:space="0" w:color="auto"/>
            <w:right w:val="none" w:sz="0" w:space="0" w:color="auto"/>
          </w:divBdr>
          <w:divsChild>
            <w:div w:id="856504012">
              <w:marLeft w:val="0"/>
              <w:marRight w:val="0"/>
              <w:marTop w:val="0"/>
              <w:marBottom w:val="0"/>
              <w:divBdr>
                <w:top w:val="none" w:sz="0" w:space="0" w:color="auto"/>
                <w:left w:val="none" w:sz="0" w:space="0" w:color="auto"/>
                <w:bottom w:val="none" w:sz="0" w:space="0" w:color="auto"/>
                <w:right w:val="none" w:sz="0" w:space="0" w:color="auto"/>
              </w:divBdr>
            </w:div>
            <w:div w:id="1176652155">
              <w:marLeft w:val="0"/>
              <w:marRight w:val="0"/>
              <w:marTop w:val="0"/>
              <w:marBottom w:val="0"/>
              <w:divBdr>
                <w:top w:val="none" w:sz="0" w:space="0" w:color="auto"/>
                <w:left w:val="none" w:sz="0" w:space="0" w:color="auto"/>
                <w:bottom w:val="none" w:sz="0" w:space="0" w:color="auto"/>
                <w:right w:val="none" w:sz="0" w:space="0" w:color="auto"/>
              </w:divBdr>
            </w:div>
            <w:div w:id="192960695">
              <w:marLeft w:val="0"/>
              <w:marRight w:val="0"/>
              <w:marTop w:val="0"/>
              <w:marBottom w:val="0"/>
              <w:divBdr>
                <w:top w:val="none" w:sz="0" w:space="0" w:color="auto"/>
                <w:left w:val="none" w:sz="0" w:space="0" w:color="auto"/>
                <w:bottom w:val="none" w:sz="0" w:space="0" w:color="auto"/>
                <w:right w:val="none" w:sz="0" w:space="0" w:color="auto"/>
              </w:divBdr>
            </w:div>
            <w:div w:id="320160290">
              <w:marLeft w:val="0"/>
              <w:marRight w:val="0"/>
              <w:marTop w:val="0"/>
              <w:marBottom w:val="0"/>
              <w:divBdr>
                <w:top w:val="none" w:sz="0" w:space="0" w:color="auto"/>
                <w:left w:val="none" w:sz="0" w:space="0" w:color="auto"/>
                <w:bottom w:val="none" w:sz="0" w:space="0" w:color="auto"/>
                <w:right w:val="none" w:sz="0" w:space="0" w:color="auto"/>
              </w:divBdr>
            </w:div>
            <w:div w:id="804276492">
              <w:marLeft w:val="0"/>
              <w:marRight w:val="0"/>
              <w:marTop w:val="0"/>
              <w:marBottom w:val="0"/>
              <w:divBdr>
                <w:top w:val="none" w:sz="0" w:space="0" w:color="auto"/>
                <w:left w:val="none" w:sz="0" w:space="0" w:color="auto"/>
                <w:bottom w:val="none" w:sz="0" w:space="0" w:color="auto"/>
                <w:right w:val="none" w:sz="0" w:space="0" w:color="auto"/>
              </w:divBdr>
            </w:div>
            <w:div w:id="1709913721">
              <w:marLeft w:val="0"/>
              <w:marRight w:val="0"/>
              <w:marTop w:val="0"/>
              <w:marBottom w:val="0"/>
              <w:divBdr>
                <w:top w:val="none" w:sz="0" w:space="0" w:color="auto"/>
                <w:left w:val="none" w:sz="0" w:space="0" w:color="auto"/>
                <w:bottom w:val="none" w:sz="0" w:space="0" w:color="auto"/>
                <w:right w:val="none" w:sz="0" w:space="0" w:color="auto"/>
              </w:divBdr>
            </w:div>
            <w:div w:id="1314606740">
              <w:marLeft w:val="0"/>
              <w:marRight w:val="0"/>
              <w:marTop w:val="0"/>
              <w:marBottom w:val="0"/>
              <w:divBdr>
                <w:top w:val="none" w:sz="0" w:space="0" w:color="auto"/>
                <w:left w:val="none" w:sz="0" w:space="0" w:color="auto"/>
                <w:bottom w:val="none" w:sz="0" w:space="0" w:color="auto"/>
                <w:right w:val="none" w:sz="0" w:space="0" w:color="auto"/>
              </w:divBdr>
            </w:div>
            <w:div w:id="504831117">
              <w:marLeft w:val="0"/>
              <w:marRight w:val="0"/>
              <w:marTop w:val="0"/>
              <w:marBottom w:val="0"/>
              <w:divBdr>
                <w:top w:val="none" w:sz="0" w:space="0" w:color="auto"/>
                <w:left w:val="none" w:sz="0" w:space="0" w:color="auto"/>
                <w:bottom w:val="none" w:sz="0" w:space="0" w:color="auto"/>
                <w:right w:val="none" w:sz="0" w:space="0" w:color="auto"/>
              </w:divBdr>
            </w:div>
            <w:div w:id="1779524277">
              <w:marLeft w:val="0"/>
              <w:marRight w:val="0"/>
              <w:marTop w:val="0"/>
              <w:marBottom w:val="0"/>
              <w:divBdr>
                <w:top w:val="none" w:sz="0" w:space="0" w:color="auto"/>
                <w:left w:val="none" w:sz="0" w:space="0" w:color="auto"/>
                <w:bottom w:val="none" w:sz="0" w:space="0" w:color="auto"/>
                <w:right w:val="none" w:sz="0" w:space="0" w:color="auto"/>
              </w:divBdr>
            </w:div>
            <w:div w:id="1290748962">
              <w:marLeft w:val="0"/>
              <w:marRight w:val="0"/>
              <w:marTop w:val="0"/>
              <w:marBottom w:val="0"/>
              <w:divBdr>
                <w:top w:val="none" w:sz="0" w:space="0" w:color="auto"/>
                <w:left w:val="none" w:sz="0" w:space="0" w:color="auto"/>
                <w:bottom w:val="none" w:sz="0" w:space="0" w:color="auto"/>
                <w:right w:val="none" w:sz="0" w:space="0" w:color="auto"/>
              </w:divBdr>
            </w:div>
            <w:div w:id="1433823221">
              <w:marLeft w:val="0"/>
              <w:marRight w:val="0"/>
              <w:marTop w:val="0"/>
              <w:marBottom w:val="0"/>
              <w:divBdr>
                <w:top w:val="none" w:sz="0" w:space="0" w:color="auto"/>
                <w:left w:val="none" w:sz="0" w:space="0" w:color="auto"/>
                <w:bottom w:val="none" w:sz="0" w:space="0" w:color="auto"/>
                <w:right w:val="none" w:sz="0" w:space="0" w:color="auto"/>
              </w:divBdr>
            </w:div>
            <w:div w:id="936250061">
              <w:marLeft w:val="0"/>
              <w:marRight w:val="0"/>
              <w:marTop w:val="0"/>
              <w:marBottom w:val="0"/>
              <w:divBdr>
                <w:top w:val="none" w:sz="0" w:space="0" w:color="auto"/>
                <w:left w:val="none" w:sz="0" w:space="0" w:color="auto"/>
                <w:bottom w:val="none" w:sz="0" w:space="0" w:color="auto"/>
                <w:right w:val="none" w:sz="0" w:space="0" w:color="auto"/>
              </w:divBdr>
            </w:div>
            <w:div w:id="172367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Sara Ahmed</cp:lastModifiedBy>
  <cp:revision>2</cp:revision>
  <dcterms:created xsi:type="dcterms:W3CDTF">2023-10-19T07:52:00Z</dcterms:created>
  <dcterms:modified xsi:type="dcterms:W3CDTF">2023-10-19T07:52:00Z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