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6"/>
      </w:tblGrid>
      <w:tr w:rsidR="001564A4" w:rsidRPr="0050053A" w14:paraId="5C38377B" w14:textId="77777777" w:rsidTr="00A7583A">
        <w:trPr>
          <w:trHeight w:val="1209"/>
          <w:jc w:val="center"/>
        </w:trPr>
        <w:tc>
          <w:tcPr>
            <w:tcW w:w="10016" w:type="dxa"/>
            <w:shd w:val="clear" w:color="auto" w:fill="auto"/>
          </w:tcPr>
          <w:p w14:paraId="5C44F357" w14:textId="50E95927" w:rsidR="001564A4" w:rsidRPr="0050053A" w:rsidRDefault="00BB0F9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Identifying risk and </w:t>
            </w:r>
            <w:r w:rsidR="001B2842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preventive factors for childhood Allergic Rhinitis: a longitudinal cohort study</w:t>
            </w:r>
          </w:p>
        </w:tc>
      </w:tr>
      <w:tr w:rsidR="001564A4" w:rsidRPr="0050053A" w14:paraId="0E2E035C" w14:textId="77777777" w:rsidTr="00A7583A">
        <w:trPr>
          <w:trHeight w:val="796"/>
          <w:jc w:val="center"/>
        </w:trPr>
        <w:tc>
          <w:tcPr>
            <w:tcW w:w="10016" w:type="dxa"/>
            <w:shd w:val="clear" w:color="auto" w:fill="auto"/>
          </w:tcPr>
          <w:p w14:paraId="73B55295" w14:textId="64B1CCA8" w:rsidR="001564A4" w:rsidRPr="00413B94" w:rsidRDefault="0053316A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GB"/>
              </w:rPr>
              <w:t>Angela Zheng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0" w:name="Text8"/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bookmarkEnd w:id="0"/>
            <w:r w:rsidR="00E614C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608D1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Vanessa </w:t>
            </w:r>
            <w:r w:rsidR="003746DA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E </w:t>
            </w:r>
            <w:r w:rsidR="008608D1">
              <w:rPr>
                <w:rFonts w:ascii="Arial" w:hAnsi="Arial" w:cs="Arial"/>
                <w:sz w:val="22"/>
                <w:szCs w:val="22"/>
                <w:lang w:val="en-US" w:eastAsia="en-GB"/>
              </w:rPr>
              <w:t>Murphy</w:t>
            </w:r>
            <w:r w:rsidR="001564A4" w:rsidRPr="00413B9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213B1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Megan E Jensen</w:t>
            </w:r>
            <w:r w:rsidR="000F697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, Joerg Mattes</w:t>
            </w:r>
            <w:r w:rsidR="000F697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437FF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,3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, Adam Collison</w:t>
            </w:r>
            <w:r w:rsidR="000F697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Paul </w:t>
            </w:r>
            <w:r w:rsidR="00111578">
              <w:rPr>
                <w:rFonts w:ascii="Arial" w:hAnsi="Arial" w:cs="Arial"/>
                <w:sz w:val="22"/>
                <w:szCs w:val="22"/>
                <w:lang w:val="en-US" w:eastAsia="en-GB"/>
              </w:rPr>
              <w:t>D</w:t>
            </w:r>
            <w:r w:rsidR="000F6973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Robinson</w:t>
            </w:r>
            <w:r w:rsidR="00437FF2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4,5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Peter </w:t>
            </w:r>
            <w:r w:rsidR="002A5A2D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D 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Sly</w:t>
            </w:r>
            <w:r w:rsidR="008D15C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, Peter </w:t>
            </w:r>
            <w:r w:rsidR="00C63FE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G 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>Gibson</w:t>
            </w:r>
            <w:r w:rsidR="000F6973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DE11E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92378E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608D1">
              <w:rPr>
                <w:rFonts w:ascii="Arial" w:hAnsi="Arial" w:cs="Arial"/>
                <w:sz w:val="22"/>
                <w:szCs w:val="22"/>
                <w:lang w:val="en-US" w:eastAsia="en-GB"/>
              </w:rPr>
              <w:t>Catarina Almqvist</w:t>
            </w:r>
            <w:r w:rsidR="00F247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  <w:r w:rsidR="001564A4" w:rsidRPr="00413B94">
              <w:rPr>
                <w:rFonts w:ascii="Arial" w:hAnsi="Arial" w:cs="Arial"/>
                <w:sz w:val="22"/>
                <w:szCs w:val="22"/>
                <w:lang w:val="en-US" w:eastAsia="en-GB"/>
              </w:rPr>
              <w:t>,</w:t>
            </w:r>
            <w:r w:rsidR="00213B12">
              <w:rPr>
                <w:rFonts w:ascii="Arial" w:hAnsi="Arial" w:cs="Arial"/>
                <w:sz w:val="22"/>
                <w:szCs w:val="22"/>
                <w:lang w:val="en-US" w:eastAsia="en-GB"/>
              </w:rPr>
              <w:t xml:space="preserve"> </w:t>
            </w:r>
            <w:r w:rsidR="008608D1">
              <w:rPr>
                <w:rFonts w:ascii="Arial" w:hAnsi="Arial" w:cs="Arial"/>
                <w:sz w:val="22"/>
                <w:szCs w:val="22"/>
                <w:lang w:val="en-US" w:eastAsia="en-GB"/>
              </w:rPr>
              <w:t>Bronwyn K Brew</w:t>
            </w:r>
            <w:r w:rsidR="0034422A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DE11E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,</w:t>
            </w:r>
            <w:r w:rsidR="00F24714">
              <w:rPr>
                <w:rFonts w:ascii="Arial" w:hAnsi="Arial" w:cs="Arial"/>
                <w:sz w:val="22"/>
                <w:szCs w:val="22"/>
                <w:vertAlign w:val="superscript"/>
                <w:lang w:val="en-US" w:eastAsia="en-GB"/>
              </w:rPr>
              <w:t>6</w:t>
            </w:r>
          </w:p>
        </w:tc>
      </w:tr>
      <w:tr w:rsidR="001564A4" w:rsidRPr="0050053A" w14:paraId="385A19D9" w14:textId="77777777" w:rsidTr="00A7583A">
        <w:trPr>
          <w:trHeight w:val="219"/>
          <w:jc w:val="center"/>
        </w:trPr>
        <w:tc>
          <w:tcPr>
            <w:tcW w:w="10016" w:type="dxa"/>
            <w:shd w:val="clear" w:color="auto" w:fill="auto"/>
          </w:tcPr>
          <w:p w14:paraId="1643A330" w14:textId="2A31AA15" w:rsidR="001564A4" w:rsidRPr="0050053A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2C0C8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763E5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Clinical Medicine, </w:t>
            </w:r>
            <w:r w:rsidR="008608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UNSW, </w:t>
            </w:r>
            <w:r w:rsidR="007143A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</w:t>
            </w:r>
            <w:r w:rsidR="008608D1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0A143396" w14:textId="326D67BE" w:rsidR="008D15C3" w:rsidRDefault="001564A4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50053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="002C0C8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34624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School of </w:t>
            </w:r>
            <w:r w:rsidR="008336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Medicine and Population Health, University of Newcastle, </w:t>
            </w:r>
            <w:r w:rsidR="007143A5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NSW</w:t>
            </w:r>
            <w:r w:rsidR="00833672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Australia</w:t>
            </w:r>
          </w:p>
          <w:p w14:paraId="7BE192B0" w14:textId="45BDDB52" w:rsidR="0017244C" w:rsidRPr="00F24714" w:rsidRDefault="000F6973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F247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</w:t>
            </w:r>
            <w:proofErr w:type="spellStart"/>
            <w:r w:rsidR="00F247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Paediatric</w:t>
            </w:r>
            <w:proofErr w:type="spellEnd"/>
            <w:r w:rsidR="00F2471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Respiratory &amp; Sleep Medicine, </w:t>
            </w:r>
            <w:r w:rsidR="00E831B9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John Hunter Children’s Hospital, NSW, Australia</w:t>
            </w:r>
          </w:p>
          <w:p w14:paraId="30C30734" w14:textId="4E56BB19" w:rsidR="00DE11E4" w:rsidRPr="008D15C3" w:rsidRDefault="0017244C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 w:rsidR="000F6973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 </w:t>
            </w:r>
            <w:r w:rsidR="002A5A2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Child Health Research Centre, UQ, Qld, Australia</w:t>
            </w:r>
          </w:p>
          <w:p w14:paraId="3BD815D8" w14:textId="07A10AA5" w:rsidR="001564A4" w:rsidRPr="0050053A" w:rsidRDefault="0017244C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5</w:t>
            </w:r>
            <w:r w:rsidR="00DE11E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Medicine</w:t>
            </w:r>
            <w:r w:rsidR="008625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Queensland Children’s Hospital, Qld, Australia</w:t>
            </w:r>
          </w:p>
          <w:p w14:paraId="45ED36BF" w14:textId="3D653724" w:rsidR="001564A4" w:rsidRPr="0050053A" w:rsidRDefault="0017244C" w:rsidP="000A28E2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 xml:space="preserve">6 </w:t>
            </w:r>
            <w:r w:rsidR="00BC14F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Department of Medical Epidemiology and Biostatistics, Karolinska Institutet,</w:t>
            </w:r>
            <w:r w:rsidR="0086253D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BC14FA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Sweden</w:t>
            </w:r>
          </w:p>
        </w:tc>
      </w:tr>
      <w:tr w:rsidR="001564A4" w:rsidRPr="0050053A" w14:paraId="6DAF615A" w14:textId="77777777" w:rsidTr="00A7583A">
        <w:trPr>
          <w:trHeight w:hRule="exact" w:val="11907"/>
          <w:jc w:val="center"/>
        </w:trPr>
        <w:tc>
          <w:tcPr>
            <w:tcW w:w="10016" w:type="dxa"/>
            <w:shd w:val="clear" w:color="auto" w:fill="auto"/>
          </w:tcPr>
          <w:p w14:paraId="739E7937" w14:textId="57D1B956" w:rsidR="001564A4" w:rsidRPr="0050053A" w:rsidRDefault="001564A4" w:rsidP="000A28E2">
            <w:pPr>
              <w:pStyle w:val="Pa12"/>
              <w:rPr>
                <w:rStyle w:val="A4"/>
              </w:rPr>
            </w:pPr>
            <w:r>
              <w:rPr>
                <w:rStyle w:val="A4"/>
                <w:b/>
                <w:bCs/>
              </w:rPr>
              <w:lastRenderedPageBreak/>
              <w:t>Introduction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3D770CF7" w14:textId="040E91AD" w:rsidR="001564A4" w:rsidRPr="00F86007" w:rsidRDefault="009004FE" w:rsidP="00F86007">
            <w:pPr>
              <w:spacing w:line="360" w:lineRule="auto"/>
              <w:rPr>
                <w:rStyle w:val="A4"/>
                <w:rFonts w:ascii="Arial" w:hAnsi="Arial" w:cs="Arial"/>
                <w:color w:val="auto"/>
              </w:rPr>
            </w:pPr>
            <w:r w:rsidRPr="009004FE">
              <w:rPr>
                <w:rFonts w:ascii="Arial" w:hAnsi="Arial" w:cs="Arial"/>
                <w:sz w:val="22"/>
                <w:szCs w:val="22"/>
              </w:rPr>
              <w:t>Uncontrolled childhood allergic rhinitis reduces quality of life. This study aim</w:t>
            </w:r>
            <w:r w:rsidR="00247052">
              <w:rPr>
                <w:rFonts w:ascii="Arial" w:hAnsi="Arial" w:cs="Arial"/>
                <w:sz w:val="22"/>
                <w:szCs w:val="22"/>
              </w:rPr>
              <w:t>ed</w:t>
            </w:r>
            <w:r w:rsidRPr="009004FE">
              <w:rPr>
                <w:rFonts w:ascii="Arial" w:hAnsi="Arial" w:cs="Arial"/>
                <w:sz w:val="22"/>
                <w:szCs w:val="22"/>
              </w:rPr>
              <w:t xml:space="preserve"> to identify </w:t>
            </w:r>
            <w:r w:rsidR="002A5A2D" w:rsidRPr="009004FE">
              <w:rPr>
                <w:rFonts w:ascii="Arial" w:hAnsi="Arial" w:cs="Arial"/>
                <w:sz w:val="22"/>
                <w:szCs w:val="22"/>
              </w:rPr>
              <w:t xml:space="preserve">modifiable </w:t>
            </w:r>
            <w:r w:rsidRPr="009004FE">
              <w:rPr>
                <w:rFonts w:ascii="Arial" w:hAnsi="Arial" w:cs="Arial"/>
                <w:sz w:val="22"/>
                <w:szCs w:val="22"/>
              </w:rPr>
              <w:t xml:space="preserve">early life factors to assist in preventing and reducing the public health burden of allergic rhinitis on Australian children. </w:t>
            </w:r>
          </w:p>
          <w:p w14:paraId="1B39336E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</w:p>
          <w:p w14:paraId="75189098" w14:textId="350C10BA" w:rsidR="00A7583A" w:rsidRPr="00A7583A" w:rsidRDefault="00541687" w:rsidP="00A7583A">
            <w:pPr>
              <w:spacing w:line="360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Data from the Breathing for Life Trial (BLT) cohort was used</w:t>
            </w:r>
            <w:r w:rsidR="005A386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, all </w:t>
            </w:r>
            <w:r w:rsidR="003746D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mother</w:t>
            </w:r>
            <w:r w:rsidR="005A386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s had</w:t>
            </w:r>
            <w:r w:rsidR="003746D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asthma. 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Validated questionnaires </w:t>
            </w:r>
            <w:r w:rsidR="00247052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collected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exposure data at 12-months (n=726) and outcome data at four-years (n=260): </w:t>
            </w:r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allergic rhinitis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 xml:space="preserve">symptoms 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(runny nose without a cold), </w:t>
            </w:r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 xml:space="preserve">any </w:t>
            </w:r>
            <w:proofErr w:type="spellStart"/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hayfever</w:t>
            </w:r>
            <w:proofErr w:type="spellEnd"/>
            <w:r w:rsidR="00247052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,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and </w:t>
            </w:r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persistent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Pr="00541687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allergic rhinitis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(symptoms reported at 12 months and 4 years). Skin prick tests were also performed at 4 years to determine airborne allergen sensitisation (n=155). Potential exposures included smoking, breastfeeding, respiratory infections, cooking source, heating source, traffic density, childcare attendance, pet ownership. Multivariate logistic regression</w:t>
            </w:r>
            <w:r w:rsidR="00374164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odds ratios and prevalence</w:t>
            </w:r>
            <w:r w:rsidR="00A23ECC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among cases</w:t>
            </w:r>
            <w:r w:rsidR="00374164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were used to calculate</w:t>
            </w:r>
            <w:r w:rsidR="00247052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p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opulation attributable fractions (PAF) and prevented fractions for the population (PFP)</w:t>
            </w:r>
            <w:r w:rsidR="006F503C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for significant associations</w:t>
            </w:r>
            <w:r w:rsidRPr="00541687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  <w:r w:rsidR="001564A4">
              <w:rPr>
                <w:sz w:val="22"/>
                <w:szCs w:val="22"/>
              </w:rPr>
              <w:br/>
            </w:r>
            <w:r w:rsidR="00A7583A" w:rsidRPr="00A7583A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val="en-AU"/>
                <w14:ligatures w14:val="standardContextual"/>
              </w:rPr>
              <w:t>Results:</w:t>
            </w:r>
          </w:p>
          <w:p w14:paraId="69B04572" w14:textId="742AD742" w:rsidR="001564A4" w:rsidRPr="00531852" w:rsidRDefault="00853685" w:rsidP="00531852">
            <w:pPr>
              <w:spacing w:line="360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At 4 years of age, the prevalence of allergic rhinitis ranged from 21.4% (</w:t>
            </w:r>
            <w:r w:rsidRPr="00853685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persistent</w:t>
            </w:r>
            <w:r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) to 41% (</w:t>
            </w:r>
            <w:r w:rsidRPr="00247052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symptoms</w:t>
            </w:r>
            <w:r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). 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Having bronchiolitis before 12 months </w:t>
            </w:r>
            <w:r w:rsidR="002A5A2D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accounted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for 22.8% of </w:t>
            </w:r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symptoms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, 19.2% of </w:t>
            </w:r>
            <w:proofErr w:type="spellStart"/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hayfever</w:t>
            </w:r>
            <w:proofErr w:type="spellEnd"/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and 27.8% of </w:t>
            </w:r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persistent allergic rhinitis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. Exclusive breastfeeding for less than 3 months </w:t>
            </w:r>
            <w:r w:rsidR="00F5588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accounted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for 26.1% of </w:t>
            </w:r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persistent allergic rhinitis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. Conversely, </w:t>
            </w:r>
            <w:r w:rsidR="00FA2449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30% of </w:t>
            </w:r>
            <w:proofErr w:type="spellStart"/>
            <w:r w:rsidR="00FA2449" w:rsidRPr="009423E6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hayfever</w:t>
            </w:r>
            <w:proofErr w:type="spellEnd"/>
            <w:r w:rsidR="00FA2449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951FFF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in the control group could have been prevented by 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having a dog in the first 12 months of life</w:t>
            </w:r>
            <w:r w:rsidR="009423E6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,</w:t>
            </w:r>
            <w:r w:rsidR="004E59D3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and 13.3% by breastfeeding 4-6 months.</w:t>
            </w:r>
            <w:r w:rsidR="009423E6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Further,</w:t>
            </w:r>
            <w:r w:rsidR="004E59D3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25.2% of </w:t>
            </w:r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persistent allergic rhinitis</w:t>
            </w:r>
            <w:r w:rsidR="00584038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could have been prevented by </w:t>
            </w:r>
            <w:r w:rsidR="00B92F41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having a cat, and 31.1% by childcare attendance. 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No </w:t>
            </w:r>
            <w:r w:rsidR="00247052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significant 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associations were found for smoking, traffic density, cooking or heating types, nor for any risk or preventive factors of </w:t>
            </w:r>
            <w:r w:rsidR="00A7583A" w:rsidRPr="00A7583A">
              <w:rPr>
                <w:rFonts w:ascii="Arial" w:eastAsiaTheme="minorHAnsi" w:hAnsi="Arial" w:cs="Arial"/>
                <w:i/>
                <w:iCs/>
                <w:kern w:val="2"/>
                <w:sz w:val="22"/>
                <w:szCs w:val="22"/>
                <w:lang w:val="en-AU"/>
                <w14:ligatures w14:val="standardContextual"/>
              </w:rPr>
              <w:t>airborne allergen sensitisation</w:t>
            </w:r>
            <w:r w:rsidR="00A7583A" w:rsidRPr="00A7583A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. </w:t>
            </w:r>
          </w:p>
          <w:p w14:paraId="66D15A0B" w14:textId="77777777" w:rsidR="00531852" w:rsidRPr="00531852" w:rsidRDefault="00531852" w:rsidP="00531852">
            <w:pPr>
              <w:spacing w:line="360" w:lineRule="auto"/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</w:pPr>
            <w:r w:rsidRPr="00531852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:lang w:val="en-AU"/>
                <w14:ligatures w14:val="standardContextual"/>
              </w:rPr>
              <w:t>Conclusion:</w:t>
            </w:r>
          </w:p>
          <w:p w14:paraId="196E7BAC" w14:textId="53BF30EC" w:rsidR="001564A4" w:rsidRPr="00531852" w:rsidRDefault="00531852" w:rsidP="00531852">
            <w:pPr>
              <w:spacing w:after="160" w:line="360" w:lineRule="auto"/>
              <w:rPr>
                <w:rStyle w:val="A4"/>
                <w:rFonts w:asciiTheme="minorHAnsi" w:eastAsiaTheme="minorHAnsi" w:hAnsiTheme="minorHAnsi" w:cstheme="minorBidi"/>
                <w:color w:val="auto"/>
                <w:kern w:val="2"/>
                <w:lang w:val="en-AU"/>
                <w14:ligatures w14:val="standardContextual"/>
              </w:rPr>
            </w:pPr>
            <w:r w:rsidRPr="00531852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These findings indicate interventions to prevent </w:t>
            </w:r>
            <w:r w:rsidR="00E614C3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allergic rhinitis</w:t>
            </w:r>
            <w:r w:rsidRPr="00531852"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 xml:space="preserve"> would be best directed towards reducing transmission of respiratory infections, improving breastfeeding rates and encouraging pet ownership in the first year of life</w:t>
            </w:r>
            <w:r>
              <w:rPr>
                <w:rFonts w:ascii="Arial" w:eastAsiaTheme="minorHAnsi" w:hAnsi="Arial" w:cs="Arial"/>
                <w:kern w:val="2"/>
                <w:sz w:val="22"/>
                <w:szCs w:val="22"/>
                <w:lang w:val="en-AU"/>
                <w14:ligatures w14:val="standardContextual"/>
              </w:rPr>
              <w:t>.</w:t>
            </w:r>
          </w:p>
          <w:p w14:paraId="3E8B4283" w14:textId="77777777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</w:p>
          <w:p w14:paraId="7F8381F0" w14:textId="3B2A69D9" w:rsidR="001564A4" w:rsidRDefault="0092378E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NHMRC, John Hunter Hospital Charitable Trust</w:t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  <w:r w:rsidR="001564A4"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32A70617" w:rsidR="00E0700F" w:rsidRDefault="00E0700F" w:rsidP="001564A4"/>
    <w:sectPr w:rsidR="00E070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1159E"/>
    <w:rsid w:val="000675E8"/>
    <w:rsid w:val="000F6973"/>
    <w:rsid w:val="00111578"/>
    <w:rsid w:val="001564A4"/>
    <w:rsid w:val="0017244C"/>
    <w:rsid w:val="001B2842"/>
    <w:rsid w:val="00213B12"/>
    <w:rsid w:val="00247052"/>
    <w:rsid w:val="002A5A2D"/>
    <w:rsid w:val="002C0C8A"/>
    <w:rsid w:val="0034422A"/>
    <w:rsid w:val="00346247"/>
    <w:rsid w:val="00374164"/>
    <w:rsid w:val="003746DA"/>
    <w:rsid w:val="003761E4"/>
    <w:rsid w:val="00425FD3"/>
    <w:rsid w:val="00437FF2"/>
    <w:rsid w:val="004E59D3"/>
    <w:rsid w:val="0051574E"/>
    <w:rsid w:val="00531852"/>
    <w:rsid w:val="0053316A"/>
    <w:rsid w:val="00541687"/>
    <w:rsid w:val="00584038"/>
    <w:rsid w:val="005A386A"/>
    <w:rsid w:val="00687A3E"/>
    <w:rsid w:val="006F503C"/>
    <w:rsid w:val="007143A5"/>
    <w:rsid w:val="00763E54"/>
    <w:rsid w:val="007A01AC"/>
    <w:rsid w:val="007E6D8C"/>
    <w:rsid w:val="007F2586"/>
    <w:rsid w:val="00833672"/>
    <w:rsid w:val="00853685"/>
    <w:rsid w:val="008608D1"/>
    <w:rsid w:val="0086253D"/>
    <w:rsid w:val="008803FA"/>
    <w:rsid w:val="008D15C3"/>
    <w:rsid w:val="009004FE"/>
    <w:rsid w:val="0092378E"/>
    <w:rsid w:val="009423E6"/>
    <w:rsid w:val="00951FFF"/>
    <w:rsid w:val="0097075F"/>
    <w:rsid w:val="00A23ECC"/>
    <w:rsid w:val="00A7583A"/>
    <w:rsid w:val="00B12E32"/>
    <w:rsid w:val="00B92F41"/>
    <w:rsid w:val="00BB0F9B"/>
    <w:rsid w:val="00BB48A7"/>
    <w:rsid w:val="00BC14FA"/>
    <w:rsid w:val="00BD7078"/>
    <w:rsid w:val="00BE5A74"/>
    <w:rsid w:val="00C63FE2"/>
    <w:rsid w:val="00D636D1"/>
    <w:rsid w:val="00DE11E4"/>
    <w:rsid w:val="00E0700F"/>
    <w:rsid w:val="00E614C3"/>
    <w:rsid w:val="00E831B9"/>
    <w:rsid w:val="00EB5886"/>
    <w:rsid w:val="00F24714"/>
    <w:rsid w:val="00F5588A"/>
    <w:rsid w:val="00F86007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Revision">
    <w:name w:val="Revision"/>
    <w:hidden/>
    <w:uiPriority w:val="99"/>
    <w:semiHidden/>
    <w:rsid w:val="003746D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A5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5A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5A2D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A2D"/>
    <w:rPr>
      <w:rFonts w:ascii="Times New Roman" w:eastAsia="Times New Roman" w:hAnsi="Times New Roman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Bronwyn Brew Haasdyk</cp:lastModifiedBy>
  <cp:revision>2</cp:revision>
  <dcterms:created xsi:type="dcterms:W3CDTF">2023-10-18T22:43:00Z</dcterms:created>
  <dcterms:modified xsi:type="dcterms:W3CDTF">2023-10-18T22:43:00Z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MSIP_Label_0f488380-630a-4f55-a077-a19445e3f360_Enabled">
    <vt:lpwstr>true</vt:lpwstr>
  </property>
  <property fmtid="{D5CDD505-2E9C-101B-9397-08002B2CF9AE}" pid="5" name="MSIP_Label_0f488380-630a-4f55-a077-a19445e3f360_SetDate">
    <vt:lpwstr>2023-10-12T22:41:28Z</vt:lpwstr>
  </property>
  <property fmtid="{D5CDD505-2E9C-101B-9397-08002B2CF9AE}" pid="6" name="MSIP_Label_0f488380-630a-4f55-a077-a19445e3f360_Method">
    <vt:lpwstr>Standard</vt:lpwstr>
  </property>
  <property fmtid="{D5CDD505-2E9C-101B-9397-08002B2CF9AE}" pid="7" name="MSIP_Label_0f488380-630a-4f55-a077-a19445e3f360_Name">
    <vt:lpwstr>OFFICIAL - INTERNAL</vt:lpwstr>
  </property>
  <property fmtid="{D5CDD505-2E9C-101B-9397-08002B2CF9AE}" pid="8" name="MSIP_Label_0f488380-630a-4f55-a077-a19445e3f360_SiteId">
    <vt:lpwstr>b6e377cf-9db3-46cb-91a2-fad9605bb15c</vt:lpwstr>
  </property>
  <property fmtid="{D5CDD505-2E9C-101B-9397-08002B2CF9AE}" pid="9" name="MSIP_Label_0f488380-630a-4f55-a077-a19445e3f360_ActionId">
    <vt:lpwstr>bf531d8e-f35c-449b-872a-362e7f43b503</vt:lpwstr>
  </property>
  <property fmtid="{D5CDD505-2E9C-101B-9397-08002B2CF9AE}" pid="10" name="MSIP_Label_0f488380-630a-4f55-a077-a19445e3f360_ContentBits">
    <vt:lpwstr>0</vt:lpwstr>
  </property>
</Properties>
</file>