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9"/>
      </w:tblGrid>
      <w:tr w:rsidR="00256959" w:rsidRPr="0012686C" w14:paraId="337CFA0A" w14:textId="77777777" w:rsidTr="00E55C79">
        <w:trPr>
          <w:trHeight w:val="539"/>
          <w:jc w:val="center"/>
        </w:trPr>
        <w:tc>
          <w:tcPr>
            <w:tcW w:w="9169" w:type="dxa"/>
            <w:shd w:val="clear" w:color="auto" w:fill="auto"/>
          </w:tcPr>
          <w:p w14:paraId="78175DF8" w14:textId="3AEB829C" w:rsidR="00256959" w:rsidRPr="0012686C" w:rsidRDefault="00256959" w:rsidP="00984A6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Serology screening in </w:t>
            </w:r>
            <w:r w:rsidRPr="00745A7E">
              <w:rPr>
                <w:rFonts w:ascii="Arial" w:hAnsi="Arial" w:cs="Arial"/>
                <w:sz w:val="22"/>
                <w:szCs w:val="22"/>
              </w:rPr>
              <w:t>Cystic Fibrosis for early detection of Coeliac disease</w:t>
            </w:r>
          </w:p>
        </w:tc>
      </w:tr>
      <w:tr w:rsidR="00256959" w:rsidRPr="0012686C" w14:paraId="4906C993" w14:textId="77777777" w:rsidTr="00E55C79">
        <w:trPr>
          <w:trHeight w:val="769"/>
          <w:jc w:val="center"/>
        </w:trPr>
        <w:tc>
          <w:tcPr>
            <w:tcW w:w="9169" w:type="dxa"/>
            <w:shd w:val="clear" w:color="auto" w:fill="auto"/>
          </w:tcPr>
          <w:p w14:paraId="5C9130B7" w14:textId="64C5EF69" w:rsidR="00256959" w:rsidRPr="0012686C" w:rsidRDefault="00256959" w:rsidP="00984A6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Nathan Lieu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A770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Carla Rowe</w:t>
            </w:r>
            <w:r w:rsidR="00BA770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Andrew William</w:t>
            </w:r>
            <w:r w:rsidR="00BA770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</w:t>
            </w:r>
            <w:r w:rsidR="00BA770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A06D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Melanie Wong</w:t>
            </w:r>
            <w:r w:rsidR="00E43D4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4473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Shoma Dutt</w:t>
            </w:r>
            <w:r w:rsidR="00D2190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2,</w:t>
            </w:r>
            <w:r w:rsidR="001A06D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4473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Hiran Selvadurai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A770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256959" w:rsidRPr="0012686C" w14:paraId="76928B27" w14:textId="77777777" w:rsidTr="00E55C79">
        <w:trPr>
          <w:trHeight w:val="139"/>
          <w:jc w:val="center"/>
        </w:trPr>
        <w:tc>
          <w:tcPr>
            <w:tcW w:w="9169" w:type="dxa"/>
            <w:shd w:val="clear" w:color="auto" w:fill="auto"/>
          </w:tcPr>
          <w:p w14:paraId="3983A283" w14:textId="575CA7E6" w:rsidR="00256959" w:rsidRDefault="00256959" w:rsidP="00984A6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2686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Medicine</w:t>
            </w: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BA770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Dietetics, </w:t>
            </w:r>
            <w:r w:rsidR="001A06D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B8554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Allergy and I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mmunology, </w:t>
            </w:r>
            <w:r w:rsidR="001A06D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4473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Gastroenterology, </w:t>
            </w:r>
            <w:r w:rsidRPr="004473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</w:t>
            </w:r>
            <w:r w:rsidRPr="001268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Children’s hospital at Westmead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Sydney.</w:t>
            </w:r>
          </w:p>
          <w:p w14:paraId="246FF83A" w14:textId="7D448F8C" w:rsidR="00542B81" w:rsidRPr="0012686C" w:rsidRDefault="00BA7701" w:rsidP="00984A6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Discipline of Paediatrics and Child Health,</w:t>
            </w:r>
            <w:r w:rsidR="001A06D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1A06D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1A06D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Central Clinical School,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542B8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Sydney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</w:p>
        </w:tc>
      </w:tr>
      <w:tr w:rsidR="00256959" w:rsidRPr="0012686C" w14:paraId="13766481" w14:textId="77777777" w:rsidTr="00E55C79">
        <w:trPr>
          <w:trHeight w:hRule="exact" w:val="11233"/>
          <w:jc w:val="center"/>
        </w:trPr>
        <w:tc>
          <w:tcPr>
            <w:tcW w:w="9169" w:type="dxa"/>
            <w:shd w:val="clear" w:color="auto" w:fill="auto"/>
          </w:tcPr>
          <w:p w14:paraId="6EF15F4F" w14:textId="77777777" w:rsidR="00256959" w:rsidRDefault="00256959" w:rsidP="00984A64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12686C">
              <w:rPr>
                <w:rStyle w:val="A4"/>
                <w:b/>
                <w:bCs/>
              </w:rPr>
              <w:t xml:space="preserve">Introduction/Aim: </w:t>
            </w:r>
          </w:p>
          <w:p w14:paraId="5D60900F" w14:textId="01154A01" w:rsidR="008F5BCD" w:rsidRPr="00745A7E" w:rsidRDefault="008F5BCD" w:rsidP="008F5BCD">
            <w:pPr>
              <w:rPr>
                <w:rFonts w:ascii="Arial" w:eastAsia="OpenSans" w:hAnsi="Arial" w:cs="Arial"/>
                <w:sz w:val="22"/>
                <w:szCs w:val="22"/>
                <w:lang w:eastAsia="en-AU"/>
              </w:rPr>
            </w:pPr>
            <w:r w:rsidRPr="00745A7E">
              <w:rPr>
                <w:rFonts w:ascii="Arial" w:eastAsia="OpenSans" w:hAnsi="Arial" w:cs="Arial"/>
                <w:sz w:val="22"/>
                <w:szCs w:val="22"/>
                <w:lang w:eastAsia="en-AU"/>
              </w:rPr>
              <w:t xml:space="preserve">Coeliac disease (CD) has a global incidence of approximately 1.4%, however studies have identified 1.8-2.3% of patients with cystic fibrosis (pwCF) to have concurrent CD. The underlying gastrointestinal symptoms associated with CF make it difficult to diagnose CD based on clinical features alone. </w:t>
            </w:r>
            <w:r w:rsidR="00B376CE">
              <w:rPr>
                <w:rFonts w:ascii="Arial" w:eastAsia="OpenSans" w:hAnsi="Arial" w:cs="Arial"/>
                <w:sz w:val="22"/>
                <w:szCs w:val="22"/>
                <w:lang w:eastAsia="en-AU"/>
              </w:rPr>
              <w:t>Our CF clinic does not routinely assess for CD.</w:t>
            </w:r>
            <w:r w:rsidR="00F42693">
              <w:rPr>
                <w:rFonts w:ascii="Arial" w:eastAsia="OpenSans" w:hAnsi="Arial" w:cs="Arial"/>
                <w:sz w:val="22"/>
                <w:szCs w:val="22"/>
                <w:lang w:eastAsia="en-AU"/>
              </w:rPr>
              <w:t xml:space="preserve"> </w:t>
            </w:r>
            <w:r w:rsidRPr="00745A7E">
              <w:rPr>
                <w:rFonts w:ascii="Arial" w:eastAsia="OpenSans" w:hAnsi="Arial" w:cs="Arial"/>
                <w:sz w:val="22"/>
                <w:szCs w:val="22"/>
                <w:lang w:eastAsia="en-AU"/>
              </w:rPr>
              <w:t xml:space="preserve">Therefore, we aim to evaluate the role of annual serology screening in pwCF in detection of CD. </w:t>
            </w:r>
          </w:p>
          <w:p w14:paraId="52DF01D2" w14:textId="77777777" w:rsidR="00256959" w:rsidRDefault="00256959" w:rsidP="00984A64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12686C">
              <w:rPr>
                <w:rStyle w:val="A4"/>
                <w:b/>
                <w:bCs/>
              </w:rPr>
              <w:t xml:space="preserve">Methods: </w:t>
            </w:r>
          </w:p>
          <w:p w14:paraId="4B49DD10" w14:textId="1D99A91C" w:rsidR="008F5BCD" w:rsidRPr="00745A7E" w:rsidRDefault="008F5BCD" w:rsidP="008F5BCD">
            <w:pPr>
              <w:rPr>
                <w:rFonts w:ascii="Arial" w:hAnsi="Arial" w:cs="Arial"/>
                <w:sz w:val="22"/>
                <w:szCs w:val="22"/>
              </w:rPr>
            </w:pPr>
            <w:r w:rsidRPr="00745A7E">
              <w:rPr>
                <w:rFonts w:ascii="Arial" w:hAnsi="Arial" w:cs="Arial"/>
                <w:sz w:val="22"/>
                <w:szCs w:val="22"/>
              </w:rPr>
              <w:t xml:space="preserve">A prospective analysis was performed on children seen in CF clinic at a tertiary paediatric hospital between 2022-2023. </w:t>
            </w:r>
            <w:r w:rsidR="000B6391">
              <w:rPr>
                <w:rFonts w:ascii="Arial" w:hAnsi="Arial" w:cs="Arial"/>
                <w:sz w:val="22"/>
                <w:szCs w:val="22"/>
              </w:rPr>
              <w:t>C</w:t>
            </w:r>
            <w:r w:rsidRPr="00745A7E">
              <w:rPr>
                <w:rFonts w:ascii="Arial" w:hAnsi="Arial" w:cs="Arial"/>
                <w:sz w:val="22"/>
                <w:szCs w:val="22"/>
              </w:rPr>
              <w:t>oeliac serology</w:t>
            </w:r>
            <w:r w:rsidR="00CF50FC"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5543" w:rsidRPr="00745A7E">
              <w:rPr>
                <w:rFonts w:ascii="Arial" w:hAnsi="Arial" w:cs="Arial"/>
                <w:sz w:val="22"/>
                <w:szCs w:val="22"/>
              </w:rPr>
              <w:t xml:space="preserve">transglutaminase IgA (tTg-IgA), </w:t>
            </w:r>
            <w:r w:rsidRPr="00745A7E">
              <w:rPr>
                <w:rFonts w:ascii="Arial" w:hAnsi="Arial" w:cs="Arial"/>
                <w:sz w:val="22"/>
                <w:szCs w:val="22"/>
              </w:rPr>
              <w:t>deami</w:t>
            </w:r>
            <w:r w:rsidR="008A5022">
              <w:rPr>
                <w:rFonts w:ascii="Arial" w:hAnsi="Arial" w:cs="Arial"/>
                <w:sz w:val="22"/>
                <w:szCs w:val="22"/>
              </w:rPr>
              <w:t>d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ated gliadin </w:t>
            </w:r>
            <w:r w:rsidR="008A5022" w:rsidRPr="00745A7E">
              <w:rPr>
                <w:rFonts w:ascii="Arial" w:hAnsi="Arial" w:cs="Arial"/>
                <w:sz w:val="22"/>
                <w:szCs w:val="22"/>
              </w:rPr>
              <w:t>Ig</w:t>
            </w:r>
            <w:r w:rsidR="008A5022">
              <w:rPr>
                <w:rFonts w:ascii="Arial" w:hAnsi="Arial" w:cs="Arial"/>
                <w:sz w:val="22"/>
                <w:szCs w:val="22"/>
              </w:rPr>
              <w:t>G</w:t>
            </w:r>
            <w:r w:rsidR="008A5022" w:rsidRPr="00745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5A7E">
              <w:rPr>
                <w:rFonts w:ascii="Arial" w:hAnsi="Arial" w:cs="Arial"/>
                <w:sz w:val="22"/>
                <w:szCs w:val="22"/>
              </w:rPr>
              <w:t>(DG</w:t>
            </w:r>
            <w:r w:rsidR="00591D54">
              <w:rPr>
                <w:rFonts w:ascii="Arial" w:hAnsi="Arial" w:cs="Arial"/>
                <w:sz w:val="22"/>
                <w:szCs w:val="22"/>
              </w:rPr>
              <w:t>P</w:t>
            </w:r>
            <w:r w:rsidRPr="00745A7E">
              <w:rPr>
                <w:rFonts w:ascii="Arial" w:hAnsi="Arial" w:cs="Arial"/>
                <w:sz w:val="22"/>
                <w:szCs w:val="22"/>
              </w:rPr>
              <w:t>-</w:t>
            </w:r>
            <w:r w:rsidR="008A5022" w:rsidRPr="00745A7E">
              <w:rPr>
                <w:rFonts w:ascii="Arial" w:hAnsi="Arial" w:cs="Arial"/>
                <w:sz w:val="22"/>
                <w:szCs w:val="22"/>
              </w:rPr>
              <w:t>Ig</w:t>
            </w:r>
            <w:r w:rsidR="008A5022">
              <w:rPr>
                <w:rFonts w:ascii="Arial" w:hAnsi="Arial" w:cs="Arial"/>
                <w:sz w:val="22"/>
                <w:szCs w:val="22"/>
              </w:rPr>
              <w:t>G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), total IgA and anti-endomysium antibody levels (AEA) </w:t>
            </w:r>
            <w:r w:rsidR="000B6391">
              <w:rPr>
                <w:rFonts w:ascii="Arial" w:hAnsi="Arial" w:cs="Arial"/>
                <w:sz w:val="22"/>
                <w:szCs w:val="22"/>
              </w:rPr>
              <w:t xml:space="preserve">as well as </w:t>
            </w:r>
            <w:r w:rsidRPr="00745A7E">
              <w:rPr>
                <w:rFonts w:ascii="Arial" w:hAnsi="Arial" w:cs="Arial"/>
                <w:sz w:val="22"/>
                <w:szCs w:val="22"/>
              </w:rPr>
              <w:t>clinical symptoms and</w:t>
            </w:r>
            <w:r w:rsidR="00F42693">
              <w:rPr>
                <w:rFonts w:ascii="Arial" w:hAnsi="Arial" w:cs="Arial"/>
                <w:sz w:val="22"/>
                <w:szCs w:val="22"/>
              </w:rPr>
              <w:t>,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391">
              <w:rPr>
                <w:rFonts w:ascii="Arial" w:hAnsi="Arial" w:cs="Arial"/>
                <w:sz w:val="22"/>
                <w:szCs w:val="22"/>
              </w:rPr>
              <w:t>whe</w:t>
            </w:r>
            <w:r w:rsidR="00F42693">
              <w:rPr>
                <w:rFonts w:ascii="Arial" w:hAnsi="Arial" w:cs="Arial"/>
                <w:sz w:val="22"/>
                <w:szCs w:val="22"/>
              </w:rPr>
              <w:t>re</w:t>
            </w:r>
            <w:r w:rsidR="000B6391">
              <w:rPr>
                <w:rFonts w:ascii="Arial" w:hAnsi="Arial" w:cs="Arial"/>
                <w:sz w:val="22"/>
                <w:szCs w:val="22"/>
              </w:rPr>
              <w:t xml:space="preserve"> available </w:t>
            </w:r>
            <w:r w:rsidRPr="00745A7E">
              <w:rPr>
                <w:rFonts w:ascii="Arial" w:hAnsi="Arial" w:cs="Arial"/>
                <w:sz w:val="22"/>
                <w:szCs w:val="22"/>
              </w:rPr>
              <w:t>biopsy results</w:t>
            </w:r>
            <w:r w:rsidR="00CF50FC">
              <w:rPr>
                <w:rFonts w:ascii="Arial" w:hAnsi="Arial" w:cs="Arial"/>
                <w:sz w:val="22"/>
                <w:szCs w:val="22"/>
              </w:rPr>
              <w:t>,</w:t>
            </w:r>
            <w:r w:rsidR="000B6391">
              <w:rPr>
                <w:rFonts w:ascii="Arial" w:hAnsi="Arial" w:cs="Arial"/>
                <w:sz w:val="22"/>
                <w:szCs w:val="22"/>
              </w:rPr>
              <w:t xml:space="preserve"> were assessed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10FC378" w14:textId="77777777" w:rsidR="00256959" w:rsidRDefault="00256959" w:rsidP="00984A64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12686C">
              <w:rPr>
                <w:rStyle w:val="A4"/>
                <w:b/>
                <w:bCs/>
              </w:rPr>
              <w:t xml:space="preserve">Results: </w:t>
            </w:r>
          </w:p>
          <w:p w14:paraId="45990F29" w14:textId="3FA9900A" w:rsidR="008F5BCD" w:rsidRDefault="008F5BCD" w:rsidP="008F5BCD">
            <w:pPr>
              <w:rPr>
                <w:rFonts w:ascii="Arial" w:hAnsi="Arial" w:cs="Arial"/>
                <w:sz w:val="22"/>
                <w:szCs w:val="22"/>
              </w:rPr>
            </w:pPr>
            <w:r w:rsidRPr="00745A7E">
              <w:rPr>
                <w:rFonts w:ascii="Arial" w:hAnsi="Arial" w:cs="Arial"/>
                <w:sz w:val="22"/>
                <w:szCs w:val="22"/>
              </w:rPr>
              <w:t xml:space="preserve">One hundred and eighty-eight children underwent coeliac serology screening. The median age was </w:t>
            </w:r>
            <w:r w:rsidR="00CA45AB">
              <w:rPr>
                <w:rFonts w:ascii="Arial" w:hAnsi="Arial" w:cs="Arial"/>
                <w:sz w:val="22"/>
                <w:szCs w:val="22"/>
              </w:rPr>
              <w:t>9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 years (SD ±5.5; 1-20). F508 was the most common gene mutation (homozygous 72/188; 38%, heterozygous 90/188; 48%). Over half (100/188; 53%) were on modulator therapy. Majority were pancreatic insufficient (141/188; 75%) and had clinical symptoms (156/188; 83%). Eighteen </w:t>
            </w:r>
            <w:r w:rsidR="004137FD">
              <w:rPr>
                <w:rFonts w:ascii="Arial" w:hAnsi="Arial" w:cs="Arial"/>
                <w:sz w:val="22"/>
                <w:szCs w:val="22"/>
              </w:rPr>
              <w:t>patients were flagged following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 elevated DG</w:t>
            </w:r>
            <w:r w:rsidR="001447FC">
              <w:rPr>
                <w:rFonts w:ascii="Arial" w:hAnsi="Arial" w:cs="Arial"/>
                <w:sz w:val="22"/>
                <w:szCs w:val="22"/>
              </w:rPr>
              <w:t>P</w:t>
            </w:r>
            <w:r w:rsidRPr="00745A7E">
              <w:rPr>
                <w:rFonts w:ascii="Arial" w:hAnsi="Arial" w:cs="Arial"/>
                <w:sz w:val="22"/>
                <w:szCs w:val="22"/>
              </w:rPr>
              <w:t>-Ig</w:t>
            </w:r>
            <w:r w:rsidR="00662D94">
              <w:rPr>
                <w:rFonts w:ascii="Arial" w:hAnsi="Arial" w:cs="Arial"/>
                <w:sz w:val="22"/>
                <w:szCs w:val="22"/>
              </w:rPr>
              <w:t>G</w:t>
            </w:r>
            <w:r w:rsidRPr="00745A7E">
              <w:rPr>
                <w:rFonts w:ascii="Arial" w:hAnsi="Arial" w:cs="Arial"/>
                <w:sz w:val="22"/>
                <w:szCs w:val="22"/>
              </w:rPr>
              <w:t>, tTg-IgA, IgA and/or AEA levels (Table 1). Three had known CD, 2 were newly diagnosed on biopsy, of which one was asymptomatic</w:t>
            </w:r>
            <w:r w:rsidR="009C3F5C">
              <w:rPr>
                <w:rFonts w:ascii="Arial" w:hAnsi="Arial" w:cs="Arial"/>
                <w:sz w:val="22"/>
                <w:szCs w:val="22"/>
              </w:rPr>
              <w:t>,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3F5C">
              <w:rPr>
                <w:rFonts w:ascii="Arial" w:hAnsi="Arial" w:cs="Arial"/>
                <w:sz w:val="22"/>
                <w:szCs w:val="22"/>
              </w:rPr>
              <w:t>o</w:t>
            </w:r>
            <w:r w:rsidRPr="00745A7E">
              <w:rPr>
                <w:rFonts w:ascii="Arial" w:hAnsi="Arial" w:cs="Arial"/>
                <w:sz w:val="22"/>
                <w:szCs w:val="22"/>
              </w:rPr>
              <w:t>ne patient had a negative biopsy</w:t>
            </w:r>
            <w:r w:rsidR="00DA6BE2">
              <w:rPr>
                <w:rFonts w:ascii="Arial" w:hAnsi="Arial" w:cs="Arial"/>
                <w:sz w:val="22"/>
                <w:szCs w:val="22"/>
              </w:rPr>
              <w:t>,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 3 await gastroenterology review and the remainder are being monitored. This gives a prevalence of 2.6% (5/188) of CD in this cohort of pwCF. </w:t>
            </w:r>
          </w:p>
          <w:p w14:paraId="1342884C" w14:textId="77777777" w:rsidR="002B31A5" w:rsidRPr="00745A7E" w:rsidRDefault="002B31A5" w:rsidP="008F5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B5193" w14:textId="33542FC7" w:rsidR="00256959" w:rsidRPr="0012686C" w:rsidRDefault="00256959" w:rsidP="00984A64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12686C">
              <w:rPr>
                <w:sz w:val="22"/>
                <w:szCs w:val="22"/>
              </w:rPr>
              <w:t xml:space="preserve">Table 1: </w:t>
            </w:r>
            <w:r w:rsidR="008F5BCD" w:rsidRPr="00745A7E">
              <w:rPr>
                <w:sz w:val="22"/>
                <w:szCs w:val="22"/>
              </w:rPr>
              <w:t>Summary of patients with raised serology markers and CD on biopsy</w:t>
            </w:r>
          </w:p>
          <w:tbl>
            <w:tblPr>
              <w:tblStyle w:val="GridTable1Light"/>
              <w:tblW w:w="8387" w:type="dxa"/>
              <w:tblInd w:w="2" w:type="dxa"/>
              <w:tblLook w:val="04A0" w:firstRow="1" w:lastRow="0" w:firstColumn="1" w:lastColumn="0" w:noHBand="0" w:noVBand="1"/>
            </w:tblPr>
            <w:tblGrid>
              <w:gridCol w:w="2239"/>
              <w:gridCol w:w="1135"/>
              <w:gridCol w:w="956"/>
              <w:gridCol w:w="1223"/>
              <w:gridCol w:w="1059"/>
              <w:gridCol w:w="952"/>
              <w:gridCol w:w="823"/>
            </w:tblGrid>
            <w:tr w:rsidR="00B85543" w:rsidRPr="0003689C" w14:paraId="700D68B0" w14:textId="77777777" w:rsidTr="00591D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282169BC" w14:textId="77777777" w:rsidR="00B85543" w:rsidRPr="0003689C" w:rsidRDefault="00B85543" w:rsidP="00B855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14:paraId="19D4B6C6" w14:textId="0C528920" w:rsidR="00B85543" w:rsidRPr="0003689C" w:rsidRDefault="00B85543" w:rsidP="00B855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Elevated tTg-IgA (n=9/188)</w:t>
                  </w:r>
                </w:p>
              </w:tc>
              <w:tc>
                <w:tcPr>
                  <w:tcW w:w="0" w:type="auto"/>
                  <w:gridSpan w:val="2"/>
                </w:tcPr>
                <w:p w14:paraId="24E2084C" w14:textId="471FA436" w:rsidR="00B85543" w:rsidRPr="0003689C" w:rsidRDefault="00B85543" w:rsidP="00B855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Elevated DG</w:t>
                  </w:r>
                  <w:r w:rsidR="00591D54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-Ig</w:t>
                  </w:r>
                  <w:r w:rsidR="008A5022">
                    <w:rPr>
                      <w:rFonts w:ascii="Arial" w:hAnsi="Arial" w:cs="Arial"/>
                      <w:sz w:val="20"/>
                      <w:szCs w:val="20"/>
                    </w:rPr>
                    <w:t>G</w:t>
                  </w: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 xml:space="preserve"> (n=10/188)</w:t>
                  </w:r>
                </w:p>
              </w:tc>
              <w:tc>
                <w:tcPr>
                  <w:tcW w:w="0" w:type="auto"/>
                  <w:gridSpan w:val="2"/>
                </w:tcPr>
                <w:p w14:paraId="7486BCFF" w14:textId="77777777" w:rsidR="00B85543" w:rsidRPr="0003689C" w:rsidRDefault="00B85543" w:rsidP="00B855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Elevated AEA (n=3/4)</w:t>
                  </w:r>
                </w:p>
              </w:tc>
            </w:tr>
            <w:tr w:rsidR="00B85543" w:rsidRPr="0003689C" w14:paraId="751F117E" w14:textId="77777777" w:rsidTr="00591D54">
              <w:trPr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Merge w:val="restart"/>
                </w:tcPr>
                <w:p w14:paraId="4D761110" w14:textId="4F53529F" w:rsidR="00B85543" w:rsidRPr="0003689C" w:rsidRDefault="00B85543" w:rsidP="00B855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Symptomatic</w:t>
                  </w:r>
                </w:p>
              </w:tc>
              <w:tc>
                <w:tcPr>
                  <w:tcW w:w="0" w:type="auto"/>
                </w:tcPr>
                <w:p w14:paraId="5F60976F" w14:textId="6D969E04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</w:tcPr>
                <w:p w14:paraId="179E7570" w14:textId="46390161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</w:tcPr>
                <w:p w14:paraId="457966A8" w14:textId="4F663EDE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</w:tcPr>
                <w:p w14:paraId="5D641EAF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</w:tcPr>
                <w:p w14:paraId="2D3D4833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</w:tcPr>
                <w:p w14:paraId="23079655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No</w:t>
                  </w:r>
                </w:p>
              </w:tc>
            </w:tr>
            <w:tr w:rsidR="00B85543" w:rsidRPr="0003689C" w14:paraId="3F0A64D7" w14:textId="77777777" w:rsidTr="00591D54">
              <w:trPr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Merge/>
                </w:tcPr>
                <w:p w14:paraId="43EF0E14" w14:textId="41CFA0C1" w:rsidR="00B85543" w:rsidRPr="0003689C" w:rsidRDefault="00B85543" w:rsidP="00B855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8F61AAE" w14:textId="13F6BEE2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046A5158" w14:textId="7C059301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44FBE01E" w14:textId="0E81079F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</w:tcPr>
                <w:p w14:paraId="0DD1CA59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2F8432FE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7DA506FF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5543" w:rsidRPr="0003689C" w14:paraId="453748A6" w14:textId="77777777" w:rsidTr="00591D54">
              <w:trPr>
                <w:trHeight w:val="7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0CCB5DDB" w14:textId="77777777" w:rsidR="00B85543" w:rsidRPr="0003689C" w:rsidRDefault="00B85543" w:rsidP="00B855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 xml:space="preserve">Coeliac confirmed biopsy </w:t>
                  </w:r>
                </w:p>
              </w:tc>
              <w:tc>
                <w:tcPr>
                  <w:tcW w:w="0" w:type="auto"/>
                </w:tcPr>
                <w:p w14:paraId="2CE31517" w14:textId="7CE58253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4/5^</w:t>
                  </w:r>
                </w:p>
              </w:tc>
              <w:tc>
                <w:tcPr>
                  <w:tcW w:w="0" w:type="auto"/>
                </w:tcPr>
                <w:p w14:paraId="1EACE9E6" w14:textId="0BC598D3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1/5</w:t>
                  </w:r>
                </w:p>
              </w:tc>
              <w:tc>
                <w:tcPr>
                  <w:tcW w:w="0" w:type="auto"/>
                </w:tcPr>
                <w:p w14:paraId="70DC548D" w14:textId="50AF3CB1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4/5*</w:t>
                  </w:r>
                </w:p>
              </w:tc>
              <w:tc>
                <w:tcPr>
                  <w:tcW w:w="0" w:type="auto"/>
                </w:tcPr>
                <w:p w14:paraId="4FA495B0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1/5</w:t>
                  </w:r>
                </w:p>
              </w:tc>
              <w:tc>
                <w:tcPr>
                  <w:tcW w:w="0" w:type="auto"/>
                </w:tcPr>
                <w:p w14:paraId="42191BEE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2/2˚</w:t>
                  </w:r>
                </w:p>
              </w:tc>
              <w:tc>
                <w:tcPr>
                  <w:tcW w:w="0" w:type="auto"/>
                </w:tcPr>
                <w:p w14:paraId="5851625C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89C">
                    <w:rPr>
                      <w:rFonts w:ascii="Arial" w:hAnsi="Arial" w:cs="Arial"/>
                      <w:sz w:val="20"/>
                      <w:szCs w:val="20"/>
                    </w:rPr>
                    <w:t>0/2</w:t>
                  </w:r>
                </w:p>
              </w:tc>
            </w:tr>
            <w:tr w:rsidR="00B85543" w:rsidRPr="0003689C" w14:paraId="5AD50336" w14:textId="77777777" w:rsidTr="00591D54">
              <w:trPr>
                <w:trHeight w:val="7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631E0733" w14:textId="0C3425ED" w:rsidR="00B85543" w:rsidRPr="0003689C" w:rsidRDefault="00B85543" w:rsidP="00B855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Awaiting review +/- biopsy </w:t>
                  </w:r>
                </w:p>
              </w:tc>
              <w:tc>
                <w:tcPr>
                  <w:tcW w:w="0" w:type="auto"/>
                </w:tcPr>
                <w:p w14:paraId="14EC7FF2" w14:textId="36849512" w:rsidR="00B85543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4FF524A8" w14:textId="77777777" w:rsidR="00B85543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2071728" w14:textId="166554DD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5101506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62DF6ED8" w14:textId="5EDF8300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30AC3E0B" w14:textId="77777777" w:rsidR="00B85543" w:rsidRPr="0003689C" w:rsidRDefault="00B85543" w:rsidP="00B855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621EAC" w14:textId="37570659" w:rsidR="008F5BCD" w:rsidRPr="00745A7E" w:rsidRDefault="00353F22" w:rsidP="008F5BCD">
            <w:pPr>
              <w:rPr>
                <w:rFonts w:ascii="Arial" w:hAnsi="Arial" w:cs="Arial"/>
                <w:sz w:val="22"/>
                <w:szCs w:val="22"/>
              </w:rPr>
            </w:pPr>
            <w:r w:rsidRPr="00745A7E">
              <w:rPr>
                <w:rFonts w:ascii="Arial" w:hAnsi="Arial" w:cs="Arial"/>
                <w:sz w:val="22"/>
                <w:szCs w:val="22"/>
              </w:rPr>
              <w:t>^1 case of CD had normal tTg-IgA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BCD" w:rsidRPr="00745A7E">
              <w:rPr>
                <w:rFonts w:ascii="Arial" w:hAnsi="Arial" w:cs="Arial"/>
                <w:sz w:val="22"/>
                <w:szCs w:val="22"/>
              </w:rPr>
              <w:t>*1 case of CD had normal DG</w:t>
            </w:r>
            <w:r w:rsidR="00E30FA9">
              <w:rPr>
                <w:rFonts w:ascii="Arial" w:hAnsi="Arial" w:cs="Arial"/>
                <w:sz w:val="22"/>
                <w:szCs w:val="22"/>
              </w:rPr>
              <w:t>P</w:t>
            </w:r>
            <w:r w:rsidR="008F5BCD" w:rsidRPr="00745A7E">
              <w:rPr>
                <w:rFonts w:ascii="Arial" w:hAnsi="Arial" w:cs="Arial"/>
                <w:sz w:val="22"/>
                <w:szCs w:val="22"/>
              </w:rPr>
              <w:t>-IgA; ˚1 patient awaiting biopsy</w:t>
            </w:r>
          </w:p>
          <w:p w14:paraId="20F9AB04" w14:textId="77777777" w:rsidR="00256959" w:rsidRPr="00B16F9C" w:rsidRDefault="00256959" w:rsidP="00984A64">
            <w:pPr>
              <w:pStyle w:val="Default"/>
              <w:rPr>
                <w:rStyle w:val="A4"/>
              </w:rPr>
            </w:pPr>
          </w:p>
          <w:p w14:paraId="2522863B" w14:textId="77777777" w:rsidR="00256959" w:rsidRDefault="00256959" w:rsidP="00984A64">
            <w:pPr>
              <w:pStyle w:val="Pa12"/>
              <w:rPr>
                <w:rStyle w:val="A4"/>
                <w:b/>
                <w:bCs/>
              </w:rPr>
            </w:pPr>
            <w:r w:rsidRPr="0012686C">
              <w:rPr>
                <w:rStyle w:val="A4"/>
                <w:b/>
                <w:bCs/>
              </w:rPr>
              <w:t xml:space="preserve">Conclusion: </w:t>
            </w:r>
          </w:p>
          <w:p w14:paraId="29443C61" w14:textId="6894C94C" w:rsidR="008F5BCD" w:rsidRPr="00745A7E" w:rsidRDefault="008F5BCD" w:rsidP="008F5BCD">
            <w:pPr>
              <w:rPr>
                <w:rFonts w:ascii="Arial" w:hAnsi="Arial" w:cs="Arial"/>
                <w:sz w:val="22"/>
                <w:szCs w:val="22"/>
              </w:rPr>
            </w:pPr>
            <w:r w:rsidRPr="00745A7E">
              <w:rPr>
                <w:rFonts w:ascii="Arial" w:hAnsi="Arial" w:cs="Arial"/>
                <w:sz w:val="22"/>
                <w:szCs w:val="22"/>
              </w:rPr>
              <w:t xml:space="preserve">The prevalence of CD </w:t>
            </w:r>
            <w:r w:rsidR="007F6415">
              <w:rPr>
                <w:rFonts w:ascii="Arial" w:hAnsi="Arial" w:cs="Arial"/>
                <w:sz w:val="22"/>
                <w:szCs w:val="22"/>
              </w:rPr>
              <w:t xml:space="preserve">was 2.6% </w:t>
            </w:r>
            <w:r w:rsidRPr="00745A7E">
              <w:rPr>
                <w:rFonts w:ascii="Arial" w:hAnsi="Arial" w:cs="Arial"/>
                <w:sz w:val="22"/>
                <w:szCs w:val="22"/>
              </w:rPr>
              <w:t>in this cohort</w:t>
            </w:r>
            <w:r w:rsidR="0061039C">
              <w:rPr>
                <w:rFonts w:ascii="Arial" w:hAnsi="Arial" w:cs="Arial"/>
                <w:sz w:val="22"/>
                <w:szCs w:val="22"/>
              </w:rPr>
              <w:t xml:space="preserve">, with 2 newly diagnosed patients on biopsy </w:t>
            </w:r>
            <w:r w:rsidR="00E24499">
              <w:rPr>
                <w:rFonts w:ascii="Arial" w:hAnsi="Arial" w:cs="Arial"/>
                <w:sz w:val="22"/>
                <w:szCs w:val="22"/>
              </w:rPr>
              <w:t xml:space="preserve">and 3 awaiting review, </w:t>
            </w:r>
            <w:r w:rsidR="0061039C">
              <w:rPr>
                <w:rFonts w:ascii="Arial" w:hAnsi="Arial" w:cs="Arial"/>
                <w:sz w:val="22"/>
                <w:szCs w:val="22"/>
              </w:rPr>
              <w:t>following elevated serology levels</w:t>
            </w:r>
            <w:r w:rsidRPr="00745A7E">
              <w:rPr>
                <w:rFonts w:ascii="Arial" w:hAnsi="Arial" w:cs="Arial"/>
                <w:sz w:val="22"/>
                <w:szCs w:val="22"/>
              </w:rPr>
              <w:t xml:space="preserve">. Annual </w:t>
            </w:r>
            <w:r w:rsidR="00C77D38">
              <w:rPr>
                <w:rFonts w:ascii="Arial" w:hAnsi="Arial" w:cs="Arial"/>
                <w:sz w:val="22"/>
                <w:szCs w:val="22"/>
              </w:rPr>
              <w:t xml:space="preserve">CD </w:t>
            </w:r>
            <w:r w:rsidRPr="00745A7E">
              <w:rPr>
                <w:rFonts w:ascii="Arial" w:hAnsi="Arial" w:cs="Arial"/>
                <w:sz w:val="22"/>
                <w:szCs w:val="22"/>
              </w:rPr>
              <w:t>serology screening is therefore useful for early detection of CD in pwCF</w:t>
            </w:r>
            <w:r w:rsidR="00C77D38">
              <w:rPr>
                <w:rFonts w:ascii="Arial" w:hAnsi="Arial" w:cs="Arial"/>
                <w:sz w:val="22"/>
                <w:szCs w:val="22"/>
              </w:rPr>
              <w:t xml:space="preserve"> and has been instituted as a standard of care in our clinic</w:t>
            </w:r>
            <w:r w:rsidRPr="00745A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63FD2A" w14:textId="77777777" w:rsidR="008F5BCD" w:rsidRDefault="008F5BCD" w:rsidP="00984A64">
            <w:pPr>
              <w:pStyle w:val="Pa12"/>
              <w:rPr>
                <w:rStyle w:val="A4"/>
                <w:b/>
                <w:bCs/>
              </w:rPr>
            </w:pPr>
          </w:p>
          <w:p w14:paraId="46A7305D" w14:textId="31C8B6C6" w:rsidR="00256959" w:rsidRPr="0012686C" w:rsidRDefault="00256959" w:rsidP="00984A64">
            <w:pPr>
              <w:pStyle w:val="Pa12"/>
              <w:rPr>
                <w:rStyle w:val="A4"/>
                <w:bCs/>
              </w:rPr>
            </w:pPr>
            <w:r w:rsidRPr="0012686C">
              <w:rPr>
                <w:rStyle w:val="A4"/>
                <w:b/>
                <w:bCs/>
              </w:rPr>
              <w:t>Grant Support</w:t>
            </w:r>
            <w:r>
              <w:rPr>
                <w:rStyle w:val="A4"/>
                <w:b/>
                <w:bCs/>
              </w:rPr>
              <w:t>/Declaration of Interests</w:t>
            </w:r>
            <w:r w:rsidRPr="0012686C">
              <w:rPr>
                <w:rStyle w:val="A4"/>
                <w:b/>
                <w:bCs/>
              </w:rPr>
              <w:t xml:space="preserve">: </w:t>
            </w:r>
            <w:r w:rsidRPr="0012686C">
              <w:rPr>
                <w:sz w:val="22"/>
                <w:szCs w:val="22"/>
              </w:rPr>
              <w:t>Nil to declare</w:t>
            </w:r>
            <w:r w:rsidRPr="0012686C">
              <w:rPr>
                <w:sz w:val="22"/>
                <w:szCs w:val="22"/>
              </w:rPr>
              <w:br/>
            </w:r>
            <w:r w:rsidRPr="00B25ECB">
              <w:rPr>
                <w:b/>
                <w:bCs/>
                <w:sz w:val="22"/>
                <w:szCs w:val="22"/>
              </w:rPr>
              <w:t>Key words:</w:t>
            </w:r>
            <w:r w:rsidRPr="00B25ECB">
              <w:rPr>
                <w:sz w:val="22"/>
                <w:szCs w:val="22"/>
              </w:rPr>
              <w:t xml:space="preserve"> </w:t>
            </w:r>
            <w:r w:rsidR="000076C5">
              <w:rPr>
                <w:sz w:val="22"/>
                <w:szCs w:val="22"/>
              </w:rPr>
              <w:t>Cystic Fibrosis</w:t>
            </w:r>
            <w:r w:rsidRPr="00B25ECB">
              <w:rPr>
                <w:sz w:val="22"/>
                <w:szCs w:val="22"/>
              </w:rPr>
              <w:t xml:space="preserve">, </w:t>
            </w:r>
            <w:r w:rsidR="000076C5">
              <w:rPr>
                <w:sz w:val="22"/>
                <w:szCs w:val="22"/>
              </w:rPr>
              <w:t xml:space="preserve">Coeliac disease, children </w:t>
            </w:r>
            <w:r w:rsidRPr="0012686C">
              <w:rPr>
                <w:rStyle w:val="A4"/>
                <w:bCs/>
              </w:rPr>
              <w:br/>
            </w:r>
            <w:r w:rsidRPr="0012686C">
              <w:rPr>
                <w:rStyle w:val="A4"/>
                <w:bCs/>
              </w:rPr>
              <w:br/>
            </w:r>
            <w:r w:rsidRPr="0012686C">
              <w:rPr>
                <w:rStyle w:val="A4"/>
                <w:bCs/>
              </w:rPr>
              <w:br/>
            </w:r>
            <w:r w:rsidRPr="0012686C">
              <w:rPr>
                <w:rStyle w:val="A4"/>
                <w:bCs/>
              </w:rPr>
              <w:br/>
            </w:r>
            <w:r w:rsidRPr="0012686C">
              <w:rPr>
                <w:rStyle w:val="A4"/>
                <w:bCs/>
              </w:rPr>
              <w:br/>
            </w:r>
          </w:p>
          <w:p w14:paraId="16F73E6C" w14:textId="77777777" w:rsidR="00256959" w:rsidRPr="0012686C" w:rsidRDefault="00256959" w:rsidP="00984A64">
            <w:pPr>
              <w:pStyle w:val="Default"/>
              <w:rPr>
                <w:rStyle w:val="A4"/>
                <w:bCs/>
              </w:rPr>
            </w:pPr>
          </w:p>
          <w:p w14:paraId="26227886" w14:textId="77777777" w:rsidR="00256959" w:rsidRPr="0012686C" w:rsidRDefault="00256959" w:rsidP="00984A64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  <w:r w:rsidRPr="0012686C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3F640D2" w14:textId="7C1892D5" w:rsidR="003723F0" w:rsidRPr="004A2273" w:rsidRDefault="003723F0" w:rsidP="004A2273">
      <w:pPr>
        <w:rPr>
          <w:rFonts w:ascii="Arial" w:hAnsi="Arial" w:cs="Arial"/>
          <w:sz w:val="22"/>
          <w:szCs w:val="22"/>
        </w:rPr>
      </w:pPr>
      <w:r w:rsidRPr="0012686C">
        <w:rPr>
          <w:rFonts w:ascii="Arial" w:hAnsi="Arial" w:cs="Arial"/>
          <w:sz w:val="22"/>
          <w:szCs w:val="22"/>
        </w:rPr>
        <w:t xml:space="preserve">Word count </w:t>
      </w:r>
      <w:r>
        <w:rPr>
          <w:rFonts w:ascii="Arial" w:hAnsi="Arial" w:cs="Arial"/>
          <w:sz w:val="22"/>
          <w:szCs w:val="22"/>
        </w:rPr>
        <w:t>= 27</w:t>
      </w:r>
      <w:r w:rsidR="00976BF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(excluding headings, title, authors, address, and table)</w:t>
      </w:r>
    </w:p>
    <w:sectPr w:rsidR="003723F0" w:rsidRPr="004A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59"/>
    <w:rsid w:val="00006A5C"/>
    <w:rsid w:val="000076C5"/>
    <w:rsid w:val="0001647D"/>
    <w:rsid w:val="000B6391"/>
    <w:rsid w:val="00131010"/>
    <w:rsid w:val="001447FC"/>
    <w:rsid w:val="001A06D6"/>
    <w:rsid w:val="00256959"/>
    <w:rsid w:val="002B31A5"/>
    <w:rsid w:val="002D411A"/>
    <w:rsid w:val="00346A8E"/>
    <w:rsid w:val="00353F22"/>
    <w:rsid w:val="003723F0"/>
    <w:rsid w:val="003E4EA9"/>
    <w:rsid w:val="00410563"/>
    <w:rsid w:val="004137FD"/>
    <w:rsid w:val="0044733C"/>
    <w:rsid w:val="0048685B"/>
    <w:rsid w:val="004A2273"/>
    <w:rsid w:val="00542B81"/>
    <w:rsid w:val="00591D54"/>
    <w:rsid w:val="005F64C0"/>
    <w:rsid w:val="0061039C"/>
    <w:rsid w:val="00662D94"/>
    <w:rsid w:val="007F6415"/>
    <w:rsid w:val="0080166D"/>
    <w:rsid w:val="008A5022"/>
    <w:rsid w:val="008F5BCD"/>
    <w:rsid w:val="00976BFA"/>
    <w:rsid w:val="009C3F5C"/>
    <w:rsid w:val="00A67770"/>
    <w:rsid w:val="00AD103D"/>
    <w:rsid w:val="00B376CE"/>
    <w:rsid w:val="00B57625"/>
    <w:rsid w:val="00B85543"/>
    <w:rsid w:val="00BA7701"/>
    <w:rsid w:val="00C0208E"/>
    <w:rsid w:val="00C77D38"/>
    <w:rsid w:val="00C91EE5"/>
    <w:rsid w:val="00CA45AB"/>
    <w:rsid w:val="00CF50FC"/>
    <w:rsid w:val="00D2190E"/>
    <w:rsid w:val="00DA6BE2"/>
    <w:rsid w:val="00DB700A"/>
    <w:rsid w:val="00E24499"/>
    <w:rsid w:val="00E30FA9"/>
    <w:rsid w:val="00E43D43"/>
    <w:rsid w:val="00E55C79"/>
    <w:rsid w:val="00E90CFA"/>
    <w:rsid w:val="00F42693"/>
    <w:rsid w:val="00F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D70D"/>
  <w15:chartTrackingRefBased/>
  <w15:docId w15:val="{84194077-4C4D-4451-9DCA-FF11295A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NZ" w:eastAsia="en-NZ"/>
      <w14:ligatures w14:val="none"/>
    </w:rPr>
  </w:style>
  <w:style w:type="character" w:customStyle="1" w:styleId="A4">
    <w:name w:val="A4"/>
    <w:uiPriority w:val="99"/>
    <w:rsid w:val="00256959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256959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2569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BCD"/>
    <w:pPr>
      <w:spacing w:after="20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BCD"/>
    <w:rPr>
      <w:kern w:val="0"/>
      <w:sz w:val="20"/>
      <w:szCs w:val="20"/>
      <w14:ligatures w14:val="none"/>
    </w:rPr>
  </w:style>
  <w:style w:type="table" w:styleId="PlainTable3">
    <w:name w:val="Plain Table 3"/>
    <w:basedOn w:val="TableNormal"/>
    <w:uiPriority w:val="43"/>
    <w:rsid w:val="008F5B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5B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A677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38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38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C020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</dc:creator>
  <cp:keywords/>
  <dc:description/>
  <cp:lastModifiedBy>Nathan Lieu (SCHN)</cp:lastModifiedBy>
  <cp:revision>7</cp:revision>
  <dcterms:created xsi:type="dcterms:W3CDTF">2023-10-18T09:55:00Z</dcterms:created>
  <dcterms:modified xsi:type="dcterms:W3CDTF">2023-10-19T01:30:00Z</dcterms:modified>
</cp:coreProperties>
</file>