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A59E9D" w14:textId="77777777" w:rsidR="00162BB9" w:rsidRDefault="00162BB9">
      <w:pPr>
        <w:rPr>
          <w:rFonts w:ascii="Arial" w:eastAsia="Arial" w:hAnsi="Arial" w:cs="Arial"/>
          <w:sz w:val="22"/>
          <w:szCs w:val="22"/>
        </w:rPr>
      </w:pPr>
    </w:p>
    <w:tbl>
      <w:tblPr>
        <w:tblStyle w:val="a"/>
        <w:tblW w:w="86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640"/>
      </w:tblGrid>
      <w:tr w:rsidR="00162BB9" w14:paraId="14A59EA2" w14:textId="77777777">
        <w:tc>
          <w:tcPr>
            <w:tcW w:w="8640" w:type="dxa"/>
            <w:shd w:val="clear" w:color="auto" w:fill="F2F2F2"/>
          </w:tcPr>
          <w:p w14:paraId="14A59E9F" w14:textId="1528763C" w:rsidR="00162BB9" w:rsidRPr="00186936" w:rsidRDefault="00186936">
            <w:pPr>
              <w:jc w:val="both"/>
              <w:rPr>
                <w:rFonts w:ascii="Arial" w:eastAsia="Arial" w:hAnsi="Arial" w:cs="Arial"/>
                <w:bCs/>
                <w:i/>
                <w:iCs/>
                <w:sz w:val="22"/>
                <w:szCs w:val="22"/>
              </w:rPr>
            </w:pPr>
            <w:r w:rsidRPr="00186936">
              <w:rPr>
                <w:rFonts w:ascii="Arial" w:eastAsia="Arial" w:hAnsi="Arial" w:cs="Arial"/>
                <w:bCs/>
                <w:i/>
                <w:iCs/>
                <w:sz w:val="22"/>
                <w:szCs w:val="22"/>
              </w:rPr>
              <w:t xml:space="preserve">Panel </w:t>
            </w:r>
          </w:p>
          <w:p w14:paraId="14A59EA0" w14:textId="77777777" w:rsidR="00162BB9" w:rsidRDefault="00655E74">
            <w:pPr>
              <w:jc w:val="both"/>
              <w:rPr>
                <w:rFonts w:ascii="Arial" w:eastAsia="Arial" w:hAnsi="Arial" w:cs="Arial"/>
                <w:b/>
                <w:sz w:val="22"/>
                <w:szCs w:val="22"/>
              </w:rPr>
            </w:pPr>
            <w:r>
              <w:rPr>
                <w:rFonts w:ascii="Arial" w:eastAsia="Arial" w:hAnsi="Arial" w:cs="Arial"/>
                <w:b/>
                <w:sz w:val="22"/>
                <w:szCs w:val="22"/>
              </w:rPr>
              <w:t>The complexity of adapting to climate risk in informal settlements: lessons and future directions</w:t>
            </w:r>
          </w:p>
          <w:p w14:paraId="14A59EA1" w14:textId="77777777" w:rsidR="00162BB9" w:rsidRDefault="00162BB9">
            <w:pPr>
              <w:jc w:val="both"/>
              <w:rPr>
                <w:rFonts w:ascii="Arial" w:eastAsia="Arial" w:hAnsi="Arial" w:cs="Arial"/>
                <w:sz w:val="22"/>
                <w:szCs w:val="22"/>
              </w:rPr>
            </w:pPr>
          </w:p>
        </w:tc>
      </w:tr>
      <w:tr w:rsidR="00162BB9" w14:paraId="14A59EB5" w14:textId="77777777">
        <w:trPr>
          <w:trHeight w:val="2016"/>
        </w:trPr>
        <w:tc>
          <w:tcPr>
            <w:tcW w:w="8640" w:type="dxa"/>
          </w:tcPr>
          <w:p w14:paraId="33C1B855" w14:textId="77777777" w:rsidR="00186936" w:rsidRDefault="00186936">
            <w:pPr>
              <w:rPr>
                <w:rFonts w:ascii="Arial" w:eastAsia="Arial" w:hAnsi="Arial" w:cs="Arial"/>
                <w:sz w:val="22"/>
                <w:szCs w:val="22"/>
              </w:rPr>
            </w:pPr>
          </w:p>
          <w:p w14:paraId="14A59EA3" w14:textId="4C4CA779" w:rsidR="00162BB9" w:rsidRDefault="00655E74">
            <w:pPr>
              <w:rPr>
                <w:rFonts w:ascii="Arial" w:eastAsia="Arial" w:hAnsi="Arial" w:cs="Arial"/>
                <w:sz w:val="22"/>
                <w:szCs w:val="22"/>
              </w:rPr>
            </w:pPr>
            <w:r>
              <w:rPr>
                <w:rFonts w:ascii="Arial" w:eastAsia="Arial" w:hAnsi="Arial" w:cs="Arial"/>
                <w:sz w:val="22"/>
                <w:szCs w:val="22"/>
              </w:rPr>
              <w:t>In recent years, there has been growing interest in the impacts of climate change on informal settlements, recognising the justice issues given residents’ limited contribution to emissions and disproportionate vulnerability to climate hazards (Satterthwaite et al., 2020; Ziervogel, 2021; Reyes 2021). Despite significant investments by governments and development partners to enhance urban resilience, informal settlements are often overlooked in adaptation efforts (</w:t>
            </w:r>
            <w:proofErr w:type="spellStart"/>
            <w:r>
              <w:rPr>
                <w:rFonts w:ascii="Arial" w:eastAsia="Arial" w:hAnsi="Arial" w:cs="Arial"/>
                <w:sz w:val="22"/>
                <w:szCs w:val="22"/>
              </w:rPr>
              <w:t>Hussainzad</w:t>
            </w:r>
            <w:proofErr w:type="spellEnd"/>
            <w:r>
              <w:rPr>
                <w:rFonts w:ascii="Arial" w:eastAsia="Arial" w:hAnsi="Arial" w:cs="Arial"/>
                <w:sz w:val="22"/>
                <w:szCs w:val="22"/>
              </w:rPr>
              <w:t xml:space="preserve"> and Gou 2024). Understanding how adaptation can best be supported and what types of climate adaptation are viable within informal settlements, given their unique governance, socio-economic, and spatial dynamics, is the focus of a growing body of research in cities in the global South. </w:t>
            </w:r>
          </w:p>
          <w:p w14:paraId="14A59EA4" w14:textId="77777777" w:rsidR="00162BB9" w:rsidRDefault="00162BB9">
            <w:pPr>
              <w:rPr>
                <w:rFonts w:ascii="Arial" w:eastAsia="Arial" w:hAnsi="Arial" w:cs="Arial"/>
                <w:sz w:val="22"/>
                <w:szCs w:val="22"/>
              </w:rPr>
            </w:pPr>
          </w:p>
          <w:p w14:paraId="14A59EA5" w14:textId="77777777" w:rsidR="00162BB9" w:rsidRDefault="00655E74">
            <w:pPr>
              <w:rPr>
                <w:rFonts w:ascii="Arial" w:eastAsia="Arial" w:hAnsi="Arial" w:cs="Arial"/>
                <w:sz w:val="22"/>
                <w:szCs w:val="22"/>
              </w:rPr>
            </w:pPr>
            <w:r>
              <w:rPr>
                <w:rFonts w:ascii="Arial" w:eastAsia="Arial" w:hAnsi="Arial" w:cs="Arial"/>
                <w:sz w:val="22"/>
                <w:szCs w:val="22"/>
              </w:rPr>
              <w:t xml:space="preserve">Finn and </w:t>
            </w:r>
            <w:proofErr w:type="spellStart"/>
            <w:r>
              <w:rPr>
                <w:rFonts w:ascii="Arial" w:eastAsia="Arial" w:hAnsi="Arial" w:cs="Arial"/>
                <w:sz w:val="22"/>
                <w:szCs w:val="22"/>
              </w:rPr>
              <w:t>Cobbinah</w:t>
            </w:r>
            <w:proofErr w:type="spellEnd"/>
            <w:r>
              <w:rPr>
                <w:rFonts w:ascii="Arial" w:eastAsia="Arial" w:hAnsi="Arial" w:cs="Arial"/>
                <w:sz w:val="22"/>
                <w:szCs w:val="22"/>
              </w:rPr>
              <w:t xml:space="preserve"> (2023) articulate the complex interplay between informality, climate change, and rapid urbanization, focusing on African cities. </w:t>
            </w:r>
            <w:proofErr w:type="gramStart"/>
            <w:r>
              <w:rPr>
                <w:rFonts w:ascii="Arial" w:eastAsia="Arial" w:hAnsi="Arial" w:cs="Arial"/>
                <w:sz w:val="22"/>
                <w:szCs w:val="22"/>
              </w:rPr>
              <w:t>In particular, they</w:t>
            </w:r>
            <w:proofErr w:type="gramEnd"/>
            <w:r>
              <w:rPr>
                <w:rFonts w:ascii="Arial" w:eastAsia="Arial" w:hAnsi="Arial" w:cs="Arial"/>
                <w:sz w:val="22"/>
                <w:szCs w:val="22"/>
              </w:rPr>
              <w:t xml:space="preserve"> highlight three key domains that are useful to consider in this regard, namely the informal economy, informal settlements, and the state. </w:t>
            </w:r>
            <w:proofErr w:type="gramStart"/>
            <w:r>
              <w:rPr>
                <w:rFonts w:ascii="Arial" w:eastAsia="Arial" w:hAnsi="Arial" w:cs="Arial"/>
                <w:sz w:val="22"/>
                <w:szCs w:val="22"/>
              </w:rPr>
              <w:t>Specifically</w:t>
            </w:r>
            <w:proofErr w:type="gramEnd"/>
            <w:r>
              <w:rPr>
                <w:rFonts w:ascii="Arial" w:eastAsia="Arial" w:hAnsi="Arial" w:cs="Arial"/>
                <w:sz w:val="22"/>
                <w:szCs w:val="22"/>
              </w:rPr>
              <w:t xml:space="preserve"> they suggest </w:t>
            </w:r>
            <w:proofErr w:type="gramStart"/>
            <w:r>
              <w:rPr>
                <w:rFonts w:ascii="Arial" w:eastAsia="Arial" w:hAnsi="Arial" w:cs="Arial"/>
                <w:sz w:val="22"/>
                <w:szCs w:val="22"/>
              </w:rPr>
              <w:t>that,</w:t>
            </w:r>
            <w:proofErr w:type="gramEnd"/>
            <w:r>
              <w:rPr>
                <w:rFonts w:ascii="Arial" w:eastAsia="Arial" w:hAnsi="Arial" w:cs="Arial"/>
                <w:sz w:val="22"/>
                <w:szCs w:val="22"/>
              </w:rPr>
              <w:t xml:space="preserve"> “﻿Climate change fundamentally challenges life within informal economies and settlements, and its synthesis within debates on African urbanisation is urgently required” (Finn and </w:t>
            </w:r>
            <w:proofErr w:type="spellStart"/>
            <w:r>
              <w:rPr>
                <w:rFonts w:ascii="Arial" w:eastAsia="Arial" w:hAnsi="Arial" w:cs="Arial"/>
                <w:sz w:val="22"/>
                <w:szCs w:val="22"/>
              </w:rPr>
              <w:t>Cobbi</w:t>
            </w:r>
            <w:r>
              <w:rPr>
                <w:rFonts w:ascii="Arial" w:eastAsia="Arial" w:hAnsi="Arial" w:cs="Arial"/>
                <w:sz w:val="22"/>
                <w:szCs w:val="22"/>
              </w:rPr>
              <w:t>nah</w:t>
            </w:r>
            <w:proofErr w:type="spellEnd"/>
            <w:r>
              <w:rPr>
                <w:rFonts w:ascii="Arial" w:eastAsia="Arial" w:hAnsi="Arial" w:cs="Arial"/>
                <w:sz w:val="22"/>
                <w:szCs w:val="22"/>
              </w:rPr>
              <w:t xml:space="preserve">, 2023, 1). </w:t>
            </w:r>
          </w:p>
          <w:p w14:paraId="14A59EA6" w14:textId="77777777" w:rsidR="00162BB9" w:rsidRDefault="00162BB9">
            <w:pPr>
              <w:rPr>
                <w:rFonts w:ascii="Arial" w:eastAsia="Arial" w:hAnsi="Arial" w:cs="Arial"/>
                <w:sz w:val="22"/>
                <w:szCs w:val="22"/>
              </w:rPr>
            </w:pPr>
          </w:p>
          <w:p w14:paraId="14A59EA7" w14:textId="77777777" w:rsidR="00162BB9" w:rsidRDefault="00655E74">
            <w:pPr>
              <w:rPr>
                <w:rFonts w:ascii="Arial" w:eastAsia="Arial" w:hAnsi="Arial" w:cs="Arial"/>
                <w:sz w:val="22"/>
                <w:szCs w:val="22"/>
              </w:rPr>
            </w:pPr>
            <w:r>
              <w:rPr>
                <w:rFonts w:ascii="Arial" w:eastAsia="Arial" w:hAnsi="Arial" w:cs="Arial"/>
                <w:sz w:val="22"/>
                <w:szCs w:val="22"/>
              </w:rPr>
              <w:t xml:space="preserve">With increasing scholarly attention on the intersection of informal urbanisation and climate adaptation, it is timely to grapple with the complexities around adaptation to climate risk in informal settlements. This needs to start by acknowledging that people in informal settlements have been adapting to climate variability for a long time and </w:t>
            </w:r>
            <w:proofErr w:type="gramStart"/>
            <w:r>
              <w:rPr>
                <w:rFonts w:ascii="Arial" w:eastAsia="Arial" w:hAnsi="Arial" w:cs="Arial"/>
                <w:sz w:val="22"/>
                <w:szCs w:val="22"/>
              </w:rPr>
              <w:t>community based</w:t>
            </w:r>
            <w:proofErr w:type="gramEnd"/>
            <w:r>
              <w:rPr>
                <w:rFonts w:ascii="Arial" w:eastAsia="Arial" w:hAnsi="Arial" w:cs="Arial"/>
                <w:sz w:val="22"/>
                <w:szCs w:val="22"/>
              </w:rPr>
              <w:t xml:space="preserve"> adaptation responses are established in many places (Archer at al. 2014, Fox et al., 2023; Sutherland, 2020; Williams et al., 2019). </w:t>
            </w:r>
          </w:p>
          <w:p w14:paraId="14A59EA8" w14:textId="77777777" w:rsidR="00162BB9" w:rsidRDefault="00162BB9">
            <w:pPr>
              <w:rPr>
                <w:rFonts w:ascii="Arial" w:eastAsia="Arial" w:hAnsi="Arial" w:cs="Arial"/>
                <w:sz w:val="22"/>
                <w:szCs w:val="22"/>
              </w:rPr>
            </w:pPr>
          </w:p>
          <w:p w14:paraId="14A59EA9" w14:textId="77777777" w:rsidR="00162BB9" w:rsidRDefault="00655E74">
            <w:pPr>
              <w:rPr>
                <w:rFonts w:ascii="Arial" w:eastAsia="Arial" w:hAnsi="Arial" w:cs="Arial"/>
                <w:sz w:val="22"/>
                <w:szCs w:val="22"/>
              </w:rPr>
            </w:pPr>
            <w:r>
              <w:rPr>
                <w:rFonts w:ascii="Arial" w:eastAsia="Arial" w:hAnsi="Arial" w:cs="Arial"/>
                <w:sz w:val="22"/>
                <w:szCs w:val="22"/>
              </w:rPr>
              <w:t xml:space="preserve">Attention needs to be paid to who gets to decide what climate adaptation looks like and how it might be enabled. This session acknowledges the importance of building on existing theory to unpack this whilst recognising the importance of centering the lived experience in this response. In </w:t>
            </w:r>
            <w:proofErr w:type="gramStart"/>
            <w:r>
              <w:rPr>
                <w:rFonts w:ascii="Arial" w:eastAsia="Arial" w:hAnsi="Arial" w:cs="Arial"/>
                <w:sz w:val="22"/>
                <w:szCs w:val="22"/>
              </w:rPr>
              <w:t>addition</w:t>
            </w:r>
            <w:proofErr w:type="gramEnd"/>
            <w:r>
              <w:rPr>
                <w:rFonts w:ascii="Arial" w:eastAsia="Arial" w:hAnsi="Arial" w:cs="Arial"/>
                <w:sz w:val="22"/>
                <w:szCs w:val="22"/>
              </w:rPr>
              <w:t xml:space="preserve"> </w:t>
            </w:r>
            <w:proofErr w:type="gramStart"/>
            <w:r>
              <w:rPr>
                <w:rFonts w:ascii="Arial" w:eastAsia="Arial" w:hAnsi="Arial" w:cs="Arial"/>
                <w:sz w:val="22"/>
                <w:szCs w:val="22"/>
              </w:rPr>
              <w:t>it is clear that multi-</w:t>
            </w:r>
            <w:proofErr w:type="gramEnd"/>
            <w:r>
              <w:rPr>
                <w:rFonts w:ascii="Arial" w:eastAsia="Arial" w:hAnsi="Arial" w:cs="Arial"/>
                <w:sz w:val="22"/>
                <w:szCs w:val="22"/>
              </w:rPr>
              <w:t>scalar interventions are needed, combining "top-down" and "bottom-up" approaches (</w:t>
            </w:r>
            <w:proofErr w:type="spellStart"/>
            <w:r>
              <w:rPr>
                <w:rFonts w:ascii="Arial" w:eastAsia="Arial" w:hAnsi="Arial" w:cs="Arial"/>
                <w:sz w:val="22"/>
                <w:szCs w:val="22"/>
              </w:rPr>
              <w:t>Adegun</w:t>
            </w:r>
            <w:proofErr w:type="spellEnd"/>
            <w:r>
              <w:rPr>
                <w:rFonts w:ascii="Arial" w:eastAsia="Arial" w:hAnsi="Arial" w:cs="Arial"/>
                <w:sz w:val="22"/>
                <w:szCs w:val="22"/>
              </w:rPr>
              <w:t xml:space="preserve">, 2015; Finn and </w:t>
            </w:r>
            <w:proofErr w:type="spellStart"/>
            <w:r>
              <w:rPr>
                <w:rFonts w:ascii="Arial" w:eastAsia="Arial" w:hAnsi="Arial" w:cs="Arial"/>
                <w:sz w:val="22"/>
                <w:szCs w:val="22"/>
              </w:rPr>
              <w:t>Cobbinah</w:t>
            </w:r>
            <w:proofErr w:type="spellEnd"/>
            <w:r>
              <w:rPr>
                <w:rFonts w:ascii="Arial" w:eastAsia="Arial" w:hAnsi="Arial" w:cs="Arial"/>
                <w:sz w:val="22"/>
                <w:szCs w:val="22"/>
              </w:rPr>
              <w:t xml:space="preserve">, 2023; Ziervogel, 2019). In support of this, there have been growing calls for an integrated approach to climate adaptation that brings together knowledge from diverse sectors to reduce climate risk in urban settlements (Aboagye and Sharifi 2024). This panel provides an opportunity to reflect on these issues in the adaptation community. </w:t>
            </w:r>
          </w:p>
          <w:p w14:paraId="14A59EAA" w14:textId="77777777" w:rsidR="00162BB9" w:rsidRDefault="00162BB9">
            <w:pPr>
              <w:rPr>
                <w:rFonts w:ascii="Arial" w:eastAsia="Arial" w:hAnsi="Arial" w:cs="Arial"/>
                <w:sz w:val="22"/>
                <w:szCs w:val="22"/>
              </w:rPr>
            </w:pPr>
          </w:p>
          <w:p w14:paraId="14A59EAB" w14:textId="77777777" w:rsidR="00162BB9" w:rsidRDefault="00655E74">
            <w:pPr>
              <w:rPr>
                <w:rFonts w:ascii="Arial" w:eastAsia="Arial" w:hAnsi="Arial" w:cs="Arial"/>
                <w:b/>
                <w:sz w:val="22"/>
                <w:szCs w:val="22"/>
                <w:u w:val="single"/>
              </w:rPr>
            </w:pPr>
            <w:r>
              <w:rPr>
                <w:rFonts w:ascii="Arial" w:eastAsia="Arial" w:hAnsi="Arial" w:cs="Arial"/>
                <w:b/>
                <w:sz w:val="22"/>
                <w:szCs w:val="22"/>
                <w:u w:val="single"/>
              </w:rPr>
              <w:t>Session Aim and Expected outcomes</w:t>
            </w:r>
          </w:p>
          <w:p w14:paraId="14A59EAC" w14:textId="77777777" w:rsidR="00162BB9" w:rsidRDefault="00655E74">
            <w:pPr>
              <w:rPr>
                <w:rFonts w:ascii="Arial" w:eastAsia="Arial" w:hAnsi="Arial" w:cs="Arial"/>
                <w:sz w:val="22"/>
                <w:szCs w:val="22"/>
              </w:rPr>
            </w:pPr>
            <w:r>
              <w:rPr>
                <w:rFonts w:ascii="Arial" w:eastAsia="Arial" w:hAnsi="Arial" w:cs="Arial"/>
                <w:sz w:val="22"/>
                <w:szCs w:val="22"/>
              </w:rPr>
              <w:t xml:space="preserve">This panel will include a range of inputs from those actively working in informal settlements from </w:t>
            </w:r>
            <w:proofErr w:type="gramStart"/>
            <w:r>
              <w:rPr>
                <w:rFonts w:ascii="Arial" w:eastAsia="Arial" w:hAnsi="Arial" w:cs="Arial"/>
                <w:sz w:val="22"/>
                <w:szCs w:val="22"/>
              </w:rPr>
              <w:t>a research</w:t>
            </w:r>
            <w:proofErr w:type="gramEnd"/>
            <w:r>
              <w:rPr>
                <w:rFonts w:ascii="Arial" w:eastAsia="Arial" w:hAnsi="Arial" w:cs="Arial"/>
                <w:sz w:val="22"/>
                <w:szCs w:val="22"/>
              </w:rPr>
              <w:t xml:space="preserve"> and a practice perspective. This includes contributions from CLARE and other projects, in Africa and Asia and those grappling with implementing adaptation in informal settlements. The session aims to surface these grounded perspectives to deepen reflection on practice and theory on the topic. Building on this, the panel session will end by asking what questions need to be taken forward on this topic and how best to do it. The intention is to also build up a group of </w:t>
            </w:r>
            <w:r>
              <w:rPr>
                <w:rFonts w:ascii="Arial" w:eastAsia="Arial" w:hAnsi="Arial" w:cs="Arial"/>
                <w:sz w:val="22"/>
                <w:szCs w:val="22"/>
              </w:rPr>
              <w:lastRenderedPageBreak/>
              <w:t>people who want to continue en</w:t>
            </w:r>
            <w:r>
              <w:rPr>
                <w:rFonts w:ascii="Arial" w:eastAsia="Arial" w:hAnsi="Arial" w:cs="Arial"/>
                <w:sz w:val="22"/>
                <w:szCs w:val="22"/>
              </w:rPr>
              <w:t xml:space="preserve">gaging on this topic going forward to support a community of practice and share resources and insights. </w:t>
            </w:r>
          </w:p>
          <w:p w14:paraId="14A59EAD" w14:textId="77777777" w:rsidR="00162BB9" w:rsidRDefault="00162BB9">
            <w:pPr>
              <w:rPr>
                <w:rFonts w:ascii="Arial" w:eastAsia="Arial" w:hAnsi="Arial" w:cs="Arial"/>
                <w:sz w:val="22"/>
                <w:szCs w:val="22"/>
              </w:rPr>
            </w:pPr>
          </w:p>
          <w:p w14:paraId="14A59EAE" w14:textId="77777777" w:rsidR="00162BB9" w:rsidRDefault="00655E74">
            <w:pPr>
              <w:rPr>
                <w:rFonts w:ascii="Arial" w:eastAsia="Arial" w:hAnsi="Arial" w:cs="Arial"/>
                <w:sz w:val="22"/>
                <w:szCs w:val="22"/>
              </w:rPr>
            </w:pPr>
            <w:r>
              <w:rPr>
                <w:rFonts w:ascii="Arial" w:eastAsia="Arial" w:hAnsi="Arial" w:cs="Arial"/>
                <w:sz w:val="22"/>
                <w:szCs w:val="22"/>
              </w:rPr>
              <w:t xml:space="preserve">Within the context of adapting to climate change in informal settlements, </w:t>
            </w:r>
            <w:proofErr w:type="gramStart"/>
            <w:r>
              <w:rPr>
                <w:rFonts w:ascii="Arial" w:eastAsia="Arial" w:hAnsi="Arial" w:cs="Arial"/>
                <w:sz w:val="22"/>
                <w:szCs w:val="22"/>
              </w:rPr>
              <w:t>a number of</w:t>
            </w:r>
            <w:proofErr w:type="gramEnd"/>
            <w:r>
              <w:rPr>
                <w:rFonts w:ascii="Arial" w:eastAsia="Arial" w:hAnsi="Arial" w:cs="Arial"/>
                <w:sz w:val="22"/>
                <w:szCs w:val="22"/>
              </w:rPr>
              <w:t xml:space="preserve"> issues arise. The panel will reflect on two themes and contribute to outcomes on these topics, namely: </w:t>
            </w:r>
          </w:p>
          <w:p w14:paraId="14A59EAF" w14:textId="77777777" w:rsidR="00162BB9" w:rsidRDefault="00162BB9">
            <w:pPr>
              <w:rPr>
                <w:rFonts w:ascii="Arial" w:eastAsia="Arial" w:hAnsi="Arial" w:cs="Arial"/>
                <w:sz w:val="22"/>
                <w:szCs w:val="22"/>
              </w:rPr>
            </w:pPr>
          </w:p>
          <w:p w14:paraId="14A59EB0" w14:textId="77777777" w:rsidR="00162BB9" w:rsidRDefault="00655E74">
            <w:pPr>
              <w:numPr>
                <w:ilvl w:val="0"/>
                <w:numId w:val="2"/>
              </w:numPr>
              <w:pBdr>
                <w:top w:val="nil"/>
                <w:left w:val="nil"/>
                <w:bottom w:val="nil"/>
                <w:right w:val="nil"/>
                <w:between w:val="nil"/>
              </w:pBdr>
              <w:spacing w:after="160"/>
              <w:rPr>
                <w:rFonts w:ascii="Arial" w:eastAsia="Arial" w:hAnsi="Arial" w:cs="Arial"/>
                <w:color w:val="000000"/>
                <w:sz w:val="22"/>
                <w:szCs w:val="22"/>
              </w:rPr>
            </w:pPr>
            <w:r>
              <w:rPr>
                <w:rFonts w:ascii="Arial" w:eastAsia="Arial" w:hAnsi="Arial" w:cs="Arial"/>
                <w:sz w:val="22"/>
                <w:szCs w:val="22"/>
              </w:rPr>
              <w:t xml:space="preserve">Methodologies for understanding climate risk in informal settlements: ensuring ethical and </w:t>
            </w:r>
            <w:proofErr w:type="gramStart"/>
            <w:r>
              <w:rPr>
                <w:rFonts w:ascii="Arial" w:eastAsia="Arial" w:hAnsi="Arial" w:cs="Arial"/>
                <w:sz w:val="22"/>
                <w:szCs w:val="22"/>
              </w:rPr>
              <w:t>locally-led</w:t>
            </w:r>
            <w:proofErr w:type="gramEnd"/>
            <w:r>
              <w:rPr>
                <w:rFonts w:ascii="Arial" w:eastAsia="Arial" w:hAnsi="Arial" w:cs="Arial"/>
                <w:sz w:val="22"/>
                <w:szCs w:val="22"/>
              </w:rPr>
              <w:t xml:space="preserve"> engagement in understanding risk and adaptation options</w:t>
            </w:r>
          </w:p>
          <w:p w14:paraId="14A59EB1" w14:textId="77777777" w:rsidR="00162BB9" w:rsidRDefault="00655E74">
            <w:pPr>
              <w:numPr>
                <w:ilvl w:val="0"/>
                <w:numId w:val="2"/>
              </w:numPr>
              <w:pBdr>
                <w:top w:val="nil"/>
                <w:left w:val="nil"/>
                <w:bottom w:val="nil"/>
                <w:right w:val="nil"/>
                <w:between w:val="nil"/>
              </w:pBdr>
              <w:spacing w:after="160"/>
              <w:rPr>
                <w:rFonts w:ascii="Arial" w:eastAsia="Arial" w:hAnsi="Arial" w:cs="Arial"/>
                <w:color w:val="000000"/>
                <w:sz w:val="22"/>
                <w:szCs w:val="22"/>
              </w:rPr>
            </w:pPr>
            <w:r>
              <w:rPr>
                <w:rFonts w:ascii="Arial" w:eastAsia="Arial" w:hAnsi="Arial" w:cs="Arial"/>
                <w:color w:val="000000"/>
                <w:sz w:val="22"/>
                <w:szCs w:val="22"/>
              </w:rPr>
              <w:t>Collaborative governance: although supported in theory, in practice these transdisciplinary approaches often fall short of expectations. Presenters will reflect on what has been possible in relation to this through their project</w:t>
            </w:r>
            <w:r>
              <w:rPr>
                <w:rFonts w:ascii="Arial" w:eastAsia="Arial" w:hAnsi="Arial" w:cs="Arial"/>
                <w:sz w:val="22"/>
                <w:szCs w:val="22"/>
              </w:rPr>
              <w:t>s</w:t>
            </w:r>
            <w:r>
              <w:rPr>
                <w:rFonts w:ascii="Arial" w:eastAsia="Arial" w:hAnsi="Arial" w:cs="Arial"/>
                <w:color w:val="000000"/>
                <w:sz w:val="22"/>
                <w:szCs w:val="22"/>
              </w:rPr>
              <w:t xml:space="preserve">. </w:t>
            </w:r>
          </w:p>
          <w:p w14:paraId="14A59EB2" w14:textId="77777777" w:rsidR="00162BB9" w:rsidRDefault="00655E74">
            <w:pPr>
              <w:jc w:val="both"/>
              <w:rPr>
                <w:rFonts w:ascii="Arial" w:eastAsia="Arial" w:hAnsi="Arial" w:cs="Arial"/>
                <w:sz w:val="22"/>
                <w:szCs w:val="22"/>
              </w:rPr>
            </w:pPr>
            <w:r>
              <w:rPr>
                <w:rFonts w:ascii="Arial" w:eastAsia="Arial" w:hAnsi="Arial" w:cs="Arial"/>
                <w:b/>
                <w:sz w:val="22"/>
                <w:szCs w:val="22"/>
                <w:u w:val="single"/>
              </w:rPr>
              <w:t>Session Format:</w:t>
            </w:r>
          </w:p>
          <w:p w14:paraId="14A59EB3" w14:textId="69761249" w:rsidR="00162BB9" w:rsidRDefault="00655E74">
            <w:pPr>
              <w:rPr>
                <w:rFonts w:ascii="Arial" w:eastAsia="Arial" w:hAnsi="Arial" w:cs="Arial"/>
                <w:sz w:val="22"/>
                <w:szCs w:val="22"/>
              </w:rPr>
            </w:pPr>
            <w:r>
              <w:rPr>
                <w:rFonts w:ascii="Arial" w:eastAsia="Arial" w:hAnsi="Arial" w:cs="Arial"/>
                <w:sz w:val="22"/>
                <w:szCs w:val="22"/>
              </w:rPr>
              <w:t>Ziervogel, the moderator, will welcome attendees and give a brief introduction to the session, bringing her extensive experience in climate adaptation and urban governance in informal settlements</w:t>
            </w:r>
            <w:r>
              <w:rPr>
                <w:rFonts w:ascii="Arial" w:eastAsia="Arial" w:hAnsi="Arial" w:cs="Arial"/>
                <w:sz w:val="22"/>
                <w:szCs w:val="22"/>
              </w:rPr>
              <w:t>. The four presenters, all actively engaged with organizations and residents in informal settlements, will share their insights</w:t>
            </w:r>
            <w:r w:rsidR="00FC3B2B">
              <w:rPr>
                <w:rFonts w:ascii="Arial" w:eastAsia="Arial" w:hAnsi="Arial" w:cs="Arial"/>
                <w:sz w:val="22"/>
                <w:szCs w:val="22"/>
              </w:rPr>
              <w:t>.</w:t>
            </w:r>
            <w:r>
              <w:rPr>
                <w:rFonts w:ascii="Arial" w:eastAsia="Arial" w:hAnsi="Arial" w:cs="Arial"/>
                <w:sz w:val="22"/>
                <w:szCs w:val="22"/>
              </w:rPr>
              <w:t xml:space="preserve"> Following the presentations, </w:t>
            </w:r>
            <w:proofErr w:type="spellStart"/>
            <w:r>
              <w:rPr>
                <w:rFonts w:ascii="Arial" w:eastAsia="Arial" w:hAnsi="Arial" w:cs="Arial"/>
                <w:sz w:val="22"/>
                <w:szCs w:val="22"/>
              </w:rPr>
              <w:t>Cobbinah</w:t>
            </w:r>
            <w:proofErr w:type="spellEnd"/>
            <w:r>
              <w:rPr>
                <w:rFonts w:ascii="Arial" w:eastAsia="Arial" w:hAnsi="Arial" w:cs="Arial"/>
                <w:sz w:val="22"/>
                <w:szCs w:val="22"/>
              </w:rPr>
              <w:t xml:space="preserve"> will serve as the respondent, drawing on his expertise in this field (see Finn and </w:t>
            </w:r>
            <w:proofErr w:type="spellStart"/>
            <w:r>
              <w:rPr>
                <w:rFonts w:ascii="Arial" w:eastAsia="Arial" w:hAnsi="Arial" w:cs="Arial"/>
                <w:sz w:val="22"/>
                <w:szCs w:val="22"/>
              </w:rPr>
              <w:t>Cobbinah</w:t>
            </w:r>
            <w:proofErr w:type="spellEnd"/>
            <w:r>
              <w:rPr>
                <w:rFonts w:ascii="Arial" w:eastAsia="Arial" w:hAnsi="Arial" w:cs="Arial"/>
                <w:sz w:val="22"/>
                <w:szCs w:val="22"/>
              </w:rPr>
              <w:t>, 2023) to reflect on key issues emerging from the discussion and how they address the two themes</w:t>
            </w:r>
            <w:r>
              <w:rPr>
                <w:rFonts w:ascii="Arial" w:eastAsia="Arial" w:hAnsi="Arial" w:cs="Arial"/>
                <w:sz w:val="22"/>
                <w:szCs w:val="22"/>
              </w:rPr>
              <w:t>. He will also identify areas for further inquiry and practice, contributing to the development of a community of practice on this critical topic. Ziervogel will then moderate a discussion starting with general reflections and questions</w:t>
            </w:r>
            <w:r>
              <w:rPr>
                <w:rFonts w:ascii="Arial" w:eastAsia="Arial" w:hAnsi="Arial" w:cs="Arial"/>
                <w:sz w:val="22"/>
                <w:szCs w:val="22"/>
              </w:rPr>
              <w:t xml:space="preserve">. An interactive </w:t>
            </w:r>
            <w:proofErr w:type="spellStart"/>
            <w:r>
              <w:rPr>
                <w:rFonts w:ascii="Arial" w:eastAsia="Arial" w:hAnsi="Arial" w:cs="Arial"/>
                <w:sz w:val="22"/>
                <w:szCs w:val="22"/>
              </w:rPr>
              <w:t>buzzgroup</w:t>
            </w:r>
            <w:proofErr w:type="spellEnd"/>
            <w:r>
              <w:rPr>
                <w:rFonts w:ascii="Arial" w:eastAsia="Arial" w:hAnsi="Arial" w:cs="Arial"/>
                <w:sz w:val="22"/>
                <w:szCs w:val="22"/>
              </w:rPr>
              <w:t xml:space="preserve"> will get attendees to engage with the person next to them, to reflect on the two themes, that will feed into a moderated discussion to gather input and reflect on the way forward.</w:t>
            </w:r>
            <w:r>
              <w:rPr>
                <w:rFonts w:ascii="Arial" w:eastAsia="Arial" w:hAnsi="Arial" w:cs="Arial"/>
                <w:sz w:val="22"/>
                <w:szCs w:val="22"/>
              </w:rPr>
              <w:t xml:space="preserve"> </w:t>
            </w:r>
          </w:p>
          <w:p w14:paraId="14A59EB4" w14:textId="77777777" w:rsidR="00162BB9" w:rsidRDefault="00162BB9">
            <w:pPr>
              <w:rPr>
                <w:rFonts w:ascii="Arial" w:eastAsia="Arial" w:hAnsi="Arial" w:cs="Arial"/>
                <w:sz w:val="22"/>
                <w:szCs w:val="22"/>
              </w:rPr>
            </w:pPr>
          </w:p>
        </w:tc>
      </w:tr>
      <w:tr w:rsidR="00162BB9" w14:paraId="14A59F10" w14:textId="77777777">
        <w:trPr>
          <w:trHeight w:val="576"/>
        </w:trPr>
        <w:tc>
          <w:tcPr>
            <w:tcW w:w="8640" w:type="dxa"/>
          </w:tcPr>
          <w:p w14:paraId="14A59EB6" w14:textId="77777777" w:rsidR="00162BB9" w:rsidRDefault="00655E74">
            <w:pPr>
              <w:jc w:val="both"/>
              <w:rPr>
                <w:rFonts w:ascii="Arial" w:eastAsia="Arial" w:hAnsi="Arial" w:cs="Arial"/>
                <w:b/>
                <w:sz w:val="22"/>
                <w:szCs w:val="22"/>
              </w:rPr>
            </w:pPr>
            <w:r>
              <w:rPr>
                <w:rFonts w:ascii="Arial" w:eastAsia="Arial" w:hAnsi="Arial" w:cs="Arial"/>
                <w:b/>
                <w:sz w:val="22"/>
                <w:szCs w:val="22"/>
              </w:rPr>
              <w:lastRenderedPageBreak/>
              <w:t>INDIVIDUAL PANELLIST CONTRIBUTION</w:t>
            </w:r>
          </w:p>
          <w:p w14:paraId="14A59EB7" w14:textId="77777777" w:rsidR="00162BB9" w:rsidRDefault="00162BB9">
            <w:pPr>
              <w:jc w:val="both"/>
              <w:rPr>
                <w:rFonts w:ascii="Arial" w:eastAsia="Arial" w:hAnsi="Arial" w:cs="Arial"/>
                <w:b/>
                <w:sz w:val="22"/>
                <w:szCs w:val="22"/>
                <w:u w:val="single"/>
              </w:rPr>
            </w:pPr>
          </w:p>
          <w:p w14:paraId="14A59EB8" w14:textId="77777777" w:rsidR="00162BB9" w:rsidRDefault="00655E74">
            <w:pPr>
              <w:jc w:val="both"/>
              <w:rPr>
                <w:rFonts w:ascii="Arial" w:eastAsia="Arial" w:hAnsi="Arial" w:cs="Arial"/>
                <w:b/>
                <w:sz w:val="22"/>
                <w:szCs w:val="22"/>
                <w:u w:val="single"/>
              </w:rPr>
            </w:pPr>
            <w:r>
              <w:rPr>
                <w:rFonts w:ascii="Arial" w:eastAsia="Arial" w:hAnsi="Arial" w:cs="Arial"/>
                <w:b/>
                <w:sz w:val="22"/>
                <w:szCs w:val="22"/>
                <w:u w:val="single"/>
              </w:rPr>
              <w:t>Moderator Details</w:t>
            </w:r>
          </w:p>
          <w:p w14:paraId="14A59EB9" w14:textId="77777777" w:rsidR="00162BB9" w:rsidRDefault="00655E74">
            <w:pPr>
              <w:jc w:val="both"/>
              <w:rPr>
                <w:rFonts w:ascii="Arial" w:eastAsia="Arial" w:hAnsi="Arial" w:cs="Arial"/>
                <w:b/>
                <w:sz w:val="22"/>
                <w:szCs w:val="22"/>
              </w:rPr>
            </w:pPr>
            <w:r>
              <w:rPr>
                <w:rFonts w:ascii="Arial" w:eastAsia="Arial" w:hAnsi="Arial" w:cs="Arial"/>
                <w:b/>
                <w:sz w:val="22"/>
                <w:szCs w:val="22"/>
              </w:rPr>
              <w:t xml:space="preserve">Full Name: </w:t>
            </w:r>
            <w:r>
              <w:rPr>
                <w:rFonts w:ascii="Arial" w:eastAsia="Arial" w:hAnsi="Arial" w:cs="Arial"/>
                <w:sz w:val="22"/>
                <w:szCs w:val="22"/>
              </w:rPr>
              <w:t>Gina Ziervogel</w:t>
            </w:r>
            <w:r>
              <w:rPr>
                <w:rFonts w:ascii="Arial" w:eastAsia="Arial" w:hAnsi="Arial" w:cs="Arial"/>
                <w:b/>
                <w:sz w:val="22"/>
                <w:szCs w:val="22"/>
              </w:rPr>
              <w:t xml:space="preserve"> </w:t>
            </w:r>
          </w:p>
          <w:p w14:paraId="14A59EBA" w14:textId="77777777" w:rsidR="00162BB9" w:rsidRDefault="00655E74">
            <w:pPr>
              <w:jc w:val="both"/>
              <w:rPr>
                <w:rFonts w:ascii="Arial" w:eastAsia="Arial" w:hAnsi="Arial" w:cs="Arial"/>
                <w:sz w:val="22"/>
                <w:szCs w:val="22"/>
              </w:rPr>
            </w:pPr>
            <w:r>
              <w:rPr>
                <w:rFonts w:ascii="Arial" w:eastAsia="Arial" w:hAnsi="Arial" w:cs="Arial"/>
                <w:b/>
                <w:sz w:val="22"/>
                <w:szCs w:val="22"/>
              </w:rPr>
              <w:t xml:space="preserve">Organisation: </w:t>
            </w:r>
            <w:r>
              <w:rPr>
                <w:rFonts w:ascii="Arial" w:eastAsia="Arial" w:hAnsi="Arial" w:cs="Arial"/>
                <w:sz w:val="22"/>
                <w:szCs w:val="22"/>
              </w:rPr>
              <w:t>University of Cape Town</w:t>
            </w:r>
          </w:p>
          <w:p w14:paraId="14A59EBB" w14:textId="19C88627" w:rsidR="00162BB9" w:rsidRDefault="00655E74">
            <w:pPr>
              <w:jc w:val="both"/>
              <w:rPr>
                <w:rFonts w:ascii="Arial" w:eastAsia="Arial" w:hAnsi="Arial" w:cs="Arial"/>
                <w:b/>
                <w:sz w:val="22"/>
                <w:szCs w:val="22"/>
              </w:rPr>
            </w:pPr>
            <w:r>
              <w:rPr>
                <w:rFonts w:ascii="Arial" w:eastAsia="Arial" w:hAnsi="Arial" w:cs="Arial"/>
                <w:b/>
                <w:sz w:val="22"/>
                <w:szCs w:val="22"/>
              </w:rPr>
              <w:t>Bio sketch:</w:t>
            </w:r>
            <w:r>
              <w:rPr>
                <w:rFonts w:ascii="Arial" w:eastAsia="Arial" w:hAnsi="Arial" w:cs="Arial"/>
                <w:b/>
                <w:sz w:val="22"/>
                <w:szCs w:val="22"/>
              </w:rPr>
              <w:t xml:space="preserve"> </w:t>
            </w:r>
            <w:r>
              <w:rPr>
                <w:rFonts w:ascii="Arial" w:eastAsia="Arial" w:hAnsi="Arial" w:cs="Arial"/>
                <w:sz w:val="22"/>
                <w:szCs w:val="22"/>
              </w:rPr>
              <w:t>Gina Ziervogel is Director of the African Climate and Development Initiative and Professor in the Department of Environmental and Geographical Science at the University of Cape Town, South Africa. Her research focuses on climate change adaptation and development with a focus on urban governance and water and transdisciplinary approaches.</w:t>
            </w:r>
          </w:p>
          <w:p w14:paraId="14A59EBC" w14:textId="77777777" w:rsidR="00162BB9" w:rsidRDefault="00162BB9">
            <w:pPr>
              <w:jc w:val="both"/>
              <w:rPr>
                <w:rFonts w:ascii="Arial" w:eastAsia="Arial" w:hAnsi="Arial" w:cs="Arial"/>
                <w:b/>
                <w:sz w:val="22"/>
                <w:szCs w:val="22"/>
              </w:rPr>
            </w:pPr>
          </w:p>
          <w:p w14:paraId="58E2A5E8" w14:textId="77777777" w:rsidR="00655E74" w:rsidRDefault="00655E74">
            <w:pPr>
              <w:jc w:val="both"/>
              <w:rPr>
                <w:rFonts w:ascii="Arial" w:eastAsia="Arial" w:hAnsi="Arial" w:cs="Arial"/>
                <w:b/>
                <w:sz w:val="22"/>
                <w:szCs w:val="22"/>
              </w:rPr>
            </w:pPr>
          </w:p>
          <w:p w14:paraId="14A59EBE" w14:textId="3322CB6B" w:rsidR="00162BB9" w:rsidRDefault="00655E74">
            <w:pPr>
              <w:jc w:val="both"/>
              <w:rPr>
                <w:rFonts w:ascii="Arial" w:eastAsia="Arial" w:hAnsi="Arial" w:cs="Arial"/>
                <w:b/>
                <w:sz w:val="22"/>
                <w:szCs w:val="22"/>
                <w:u w:val="single"/>
              </w:rPr>
            </w:pPr>
            <w:r>
              <w:rPr>
                <w:rFonts w:ascii="Arial" w:eastAsia="Arial" w:hAnsi="Arial" w:cs="Arial"/>
                <w:b/>
                <w:sz w:val="22"/>
                <w:szCs w:val="22"/>
                <w:u w:val="single"/>
              </w:rPr>
              <w:t>Panellist 1</w:t>
            </w:r>
          </w:p>
          <w:p w14:paraId="14A59EBF" w14:textId="77777777" w:rsidR="00162BB9" w:rsidRDefault="00655E74">
            <w:pPr>
              <w:jc w:val="both"/>
              <w:rPr>
                <w:rFonts w:ascii="Arial" w:eastAsia="Arial" w:hAnsi="Arial" w:cs="Arial"/>
                <w:sz w:val="22"/>
                <w:szCs w:val="22"/>
              </w:rPr>
            </w:pPr>
            <w:r>
              <w:rPr>
                <w:rFonts w:ascii="Arial" w:eastAsia="Arial" w:hAnsi="Arial" w:cs="Arial"/>
                <w:b/>
                <w:sz w:val="22"/>
                <w:szCs w:val="22"/>
              </w:rPr>
              <w:t xml:space="preserve">Full Name: </w:t>
            </w:r>
            <w:r>
              <w:rPr>
                <w:rFonts w:ascii="Arial" w:eastAsia="Arial" w:hAnsi="Arial" w:cs="Arial"/>
                <w:sz w:val="22"/>
                <w:szCs w:val="22"/>
              </w:rPr>
              <w:t xml:space="preserve">Gilbert Siame </w:t>
            </w:r>
          </w:p>
          <w:p w14:paraId="14A59EC0" w14:textId="77777777" w:rsidR="00162BB9" w:rsidRDefault="00655E74">
            <w:pPr>
              <w:jc w:val="both"/>
              <w:rPr>
                <w:rFonts w:ascii="Arial" w:eastAsia="Arial" w:hAnsi="Arial" w:cs="Arial"/>
                <w:b/>
                <w:sz w:val="22"/>
                <w:szCs w:val="22"/>
              </w:rPr>
            </w:pPr>
            <w:r>
              <w:rPr>
                <w:rFonts w:ascii="Arial" w:eastAsia="Arial" w:hAnsi="Arial" w:cs="Arial"/>
                <w:b/>
                <w:sz w:val="22"/>
                <w:szCs w:val="22"/>
              </w:rPr>
              <w:t xml:space="preserve">Organisation: </w:t>
            </w:r>
            <w:hyperlink r:id="rId9">
              <w:r>
                <w:rPr>
                  <w:rFonts w:ascii="Arial" w:eastAsia="Arial" w:hAnsi="Arial" w:cs="Arial"/>
                  <w:sz w:val="22"/>
                  <w:szCs w:val="22"/>
                </w:rPr>
                <w:t>Department of Geography and Environmental Studies</w:t>
              </w:r>
            </w:hyperlink>
            <w:r>
              <w:rPr>
                <w:rFonts w:ascii="Arial" w:eastAsia="Arial" w:hAnsi="Arial" w:cs="Arial"/>
                <w:sz w:val="22"/>
                <w:szCs w:val="22"/>
              </w:rPr>
              <w:t xml:space="preserve"> at the University of Zambia (UNZA).</w:t>
            </w:r>
          </w:p>
          <w:p w14:paraId="14A59EC1" w14:textId="34479568" w:rsidR="00162BB9" w:rsidRDefault="00655E74">
            <w:pPr>
              <w:jc w:val="both"/>
              <w:rPr>
                <w:rFonts w:ascii="Arial" w:eastAsia="Arial" w:hAnsi="Arial" w:cs="Arial"/>
                <w:b/>
                <w:sz w:val="22"/>
                <w:szCs w:val="22"/>
              </w:rPr>
            </w:pPr>
            <w:r>
              <w:rPr>
                <w:rFonts w:ascii="Arial" w:eastAsia="Arial" w:hAnsi="Arial" w:cs="Arial"/>
                <w:b/>
                <w:sz w:val="22"/>
                <w:szCs w:val="22"/>
              </w:rPr>
              <w:t>Bio:</w:t>
            </w:r>
          </w:p>
          <w:p w14:paraId="14A59EC2" w14:textId="77777777" w:rsidR="00162BB9" w:rsidRDefault="00655E74">
            <w:pPr>
              <w:spacing w:after="360"/>
              <w:jc w:val="both"/>
              <w:rPr>
                <w:rFonts w:ascii="Arial" w:eastAsia="Arial" w:hAnsi="Arial" w:cs="Arial"/>
                <w:b/>
                <w:sz w:val="22"/>
                <w:szCs w:val="22"/>
              </w:rPr>
            </w:pPr>
            <w:r>
              <w:rPr>
                <w:rFonts w:ascii="Arial" w:eastAsia="Arial" w:hAnsi="Arial" w:cs="Arial"/>
                <w:sz w:val="22"/>
                <w:szCs w:val="22"/>
              </w:rPr>
              <w:t xml:space="preserve">Dr Gilbert Siame is a lecturer and researcher in the </w:t>
            </w:r>
            <w:hyperlink r:id="rId10">
              <w:r>
                <w:rPr>
                  <w:rFonts w:ascii="Arial" w:eastAsia="Arial" w:hAnsi="Arial" w:cs="Arial"/>
                  <w:sz w:val="22"/>
                  <w:szCs w:val="22"/>
                </w:rPr>
                <w:t>Department of Geography and Environmental Studies</w:t>
              </w:r>
            </w:hyperlink>
            <w:r>
              <w:rPr>
                <w:rFonts w:ascii="Arial" w:eastAsia="Arial" w:hAnsi="Arial" w:cs="Arial"/>
                <w:sz w:val="22"/>
                <w:szCs w:val="22"/>
              </w:rPr>
              <w:t xml:space="preserve"> at the University of Zambia (UNZA). Dr Siame investigates the complex state-society relations in co-production engagements in the cities of the global South and has published widely on urban co-production, informality, climate and cities. </w:t>
            </w:r>
          </w:p>
          <w:p w14:paraId="14A59EC3" w14:textId="393B8CCD" w:rsidR="00162BB9" w:rsidRDefault="00655E74">
            <w:pPr>
              <w:jc w:val="both"/>
              <w:rPr>
                <w:rFonts w:ascii="Arial" w:eastAsia="Arial" w:hAnsi="Arial" w:cs="Arial"/>
                <w:b/>
                <w:sz w:val="22"/>
                <w:szCs w:val="22"/>
              </w:rPr>
            </w:pPr>
            <w:r>
              <w:rPr>
                <w:rFonts w:ascii="Arial" w:eastAsia="Arial" w:hAnsi="Arial" w:cs="Arial"/>
                <w:b/>
                <w:sz w:val="22"/>
                <w:szCs w:val="22"/>
              </w:rPr>
              <w:lastRenderedPageBreak/>
              <w:t>Presentation 1: Understanding climate risk in informal settlements: Interrogating methodologies and approaches</w:t>
            </w:r>
          </w:p>
          <w:p w14:paraId="14A59EC4" w14:textId="77777777" w:rsidR="00162BB9" w:rsidRDefault="00162BB9">
            <w:pPr>
              <w:jc w:val="both"/>
              <w:rPr>
                <w:rFonts w:ascii="Arial" w:eastAsia="Arial" w:hAnsi="Arial" w:cs="Arial"/>
                <w:b/>
                <w:sz w:val="22"/>
                <w:szCs w:val="22"/>
              </w:rPr>
            </w:pPr>
          </w:p>
          <w:p w14:paraId="14A59EC5" w14:textId="77777777" w:rsidR="00162BB9" w:rsidRDefault="00655E74">
            <w:pPr>
              <w:jc w:val="both"/>
              <w:rPr>
                <w:rFonts w:ascii="Arial" w:eastAsia="Arial" w:hAnsi="Arial" w:cs="Arial"/>
                <w:b/>
                <w:sz w:val="22"/>
                <w:szCs w:val="22"/>
              </w:rPr>
            </w:pPr>
            <w:r>
              <w:rPr>
                <w:rFonts w:ascii="Arial" w:eastAsia="Arial" w:hAnsi="Arial" w:cs="Arial"/>
                <w:b/>
                <w:sz w:val="22"/>
                <w:szCs w:val="22"/>
              </w:rPr>
              <w:t>Introduction</w:t>
            </w:r>
          </w:p>
          <w:p w14:paraId="14A59EC6" w14:textId="77777777" w:rsidR="00162BB9" w:rsidRDefault="00655E74">
            <w:pPr>
              <w:jc w:val="both"/>
              <w:rPr>
                <w:rFonts w:ascii="Arial" w:eastAsia="Arial" w:hAnsi="Arial" w:cs="Arial"/>
                <w:sz w:val="22"/>
                <w:szCs w:val="22"/>
              </w:rPr>
            </w:pPr>
            <w:r>
              <w:rPr>
                <w:rFonts w:ascii="Arial" w:eastAsia="Arial" w:hAnsi="Arial" w:cs="Arial"/>
                <w:sz w:val="22"/>
                <w:szCs w:val="22"/>
              </w:rPr>
              <w:t xml:space="preserve">Informal settlements remain largely overlooked in relation to the growing vulnerabilities they face due to climate change. Hence adaptation responses are not sufficiently well developed to meet either the local needs of residents or identify the role that local government and NGOs might play. </w:t>
            </w:r>
          </w:p>
          <w:p w14:paraId="14A59EC7" w14:textId="77777777" w:rsidR="00162BB9" w:rsidRDefault="00162BB9">
            <w:pPr>
              <w:jc w:val="both"/>
              <w:rPr>
                <w:rFonts w:ascii="Arial" w:eastAsia="Arial" w:hAnsi="Arial" w:cs="Arial"/>
                <w:sz w:val="22"/>
                <w:szCs w:val="22"/>
              </w:rPr>
            </w:pPr>
          </w:p>
          <w:p w14:paraId="14A59EC8" w14:textId="77777777" w:rsidR="00162BB9" w:rsidRDefault="00655E74">
            <w:pPr>
              <w:jc w:val="both"/>
              <w:rPr>
                <w:rFonts w:ascii="Arial" w:eastAsia="Arial" w:hAnsi="Arial" w:cs="Arial"/>
                <w:b/>
                <w:sz w:val="22"/>
                <w:szCs w:val="22"/>
              </w:rPr>
            </w:pPr>
            <w:r>
              <w:rPr>
                <w:rFonts w:ascii="Arial" w:eastAsia="Arial" w:hAnsi="Arial" w:cs="Arial"/>
                <w:b/>
                <w:sz w:val="22"/>
                <w:szCs w:val="22"/>
              </w:rPr>
              <w:t>Objectives</w:t>
            </w:r>
          </w:p>
          <w:p w14:paraId="14A59EC9" w14:textId="77777777" w:rsidR="00162BB9" w:rsidRDefault="00655E74">
            <w:pPr>
              <w:jc w:val="both"/>
              <w:rPr>
                <w:rFonts w:ascii="Arial" w:eastAsia="Arial" w:hAnsi="Arial" w:cs="Arial"/>
                <w:sz w:val="22"/>
                <w:szCs w:val="22"/>
              </w:rPr>
            </w:pPr>
            <w:r>
              <w:rPr>
                <w:rFonts w:ascii="Arial" w:eastAsia="Arial" w:hAnsi="Arial" w:cs="Arial"/>
                <w:sz w:val="22"/>
                <w:szCs w:val="22"/>
              </w:rPr>
              <w:t xml:space="preserve">Understanding how everyday risks of residents in informal settlements are exacerbated by climate change is essential for designing effective and actionable adaptation strategies. This paper seeks to contribute a novel methodology to understand these risks. </w:t>
            </w:r>
          </w:p>
          <w:p w14:paraId="14A59ECA" w14:textId="77777777" w:rsidR="00162BB9" w:rsidRDefault="00162BB9">
            <w:pPr>
              <w:jc w:val="both"/>
              <w:rPr>
                <w:rFonts w:ascii="Arial" w:eastAsia="Arial" w:hAnsi="Arial" w:cs="Arial"/>
                <w:sz w:val="22"/>
                <w:szCs w:val="22"/>
              </w:rPr>
            </w:pPr>
          </w:p>
          <w:p w14:paraId="14A59ECB" w14:textId="77777777" w:rsidR="00162BB9" w:rsidRDefault="00655E74">
            <w:pPr>
              <w:jc w:val="both"/>
              <w:rPr>
                <w:rFonts w:ascii="Arial" w:eastAsia="Arial" w:hAnsi="Arial" w:cs="Arial"/>
                <w:b/>
                <w:sz w:val="22"/>
                <w:szCs w:val="22"/>
              </w:rPr>
            </w:pPr>
            <w:r>
              <w:rPr>
                <w:rFonts w:ascii="Arial" w:eastAsia="Arial" w:hAnsi="Arial" w:cs="Arial"/>
                <w:b/>
                <w:sz w:val="22"/>
                <w:szCs w:val="22"/>
              </w:rPr>
              <w:t>Methodology</w:t>
            </w:r>
          </w:p>
          <w:p w14:paraId="14A59ECC" w14:textId="77777777" w:rsidR="00162BB9" w:rsidRDefault="00655E74">
            <w:pPr>
              <w:jc w:val="both"/>
              <w:rPr>
                <w:rFonts w:ascii="Arial" w:eastAsia="Arial" w:hAnsi="Arial" w:cs="Arial"/>
                <w:sz w:val="22"/>
                <w:szCs w:val="22"/>
              </w:rPr>
            </w:pPr>
            <w:r>
              <w:rPr>
                <w:rFonts w:ascii="Arial" w:eastAsia="Arial" w:hAnsi="Arial" w:cs="Arial"/>
                <w:sz w:val="22"/>
                <w:szCs w:val="22"/>
              </w:rPr>
              <w:t xml:space="preserve">This paper explores how existing tools employed by SDI Affiliates (federations and Professional Support Organisations-PSOs)— such as settlement mapping and profiling — have been adapted as part of the </w:t>
            </w:r>
            <w:proofErr w:type="spellStart"/>
            <w:r>
              <w:rPr>
                <w:rFonts w:ascii="Arial" w:eastAsia="Arial" w:hAnsi="Arial" w:cs="Arial"/>
                <w:sz w:val="22"/>
                <w:szCs w:val="22"/>
              </w:rPr>
              <w:t>Tuwe</w:t>
            </w:r>
            <w:proofErr w:type="spellEnd"/>
            <w:r>
              <w:rPr>
                <w:rFonts w:ascii="Arial" w:eastAsia="Arial" w:hAnsi="Arial" w:cs="Arial"/>
                <w:sz w:val="22"/>
                <w:szCs w:val="22"/>
              </w:rPr>
              <w:t xml:space="preserve"> Pamoja project in Cape Town and Lusaka. Through the project revised tools now integrate a stronger focus on climate vulnerabilities, lived experience and participatory approaches. Furthermore, the revised tools explicitly focus on what role Nature-based Solutions (</w:t>
            </w:r>
            <w:proofErr w:type="spellStart"/>
            <w:r>
              <w:rPr>
                <w:rFonts w:ascii="Arial" w:eastAsia="Arial" w:hAnsi="Arial" w:cs="Arial"/>
                <w:sz w:val="22"/>
                <w:szCs w:val="22"/>
              </w:rPr>
              <w:t>NbS</w:t>
            </w:r>
            <w:proofErr w:type="spellEnd"/>
            <w:r>
              <w:rPr>
                <w:rFonts w:ascii="Arial" w:eastAsia="Arial" w:hAnsi="Arial" w:cs="Arial"/>
                <w:sz w:val="22"/>
                <w:szCs w:val="22"/>
              </w:rPr>
              <w:t xml:space="preserve">) might play in reducing climate risk, emphasizing their potential to enhance ecosystem restoration and improve service delivery in these contexts. </w:t>
            </w:r>
          </w:p>
          <w:p w14:paraId="14A59ECD" w14:textId="77777777" w:rsidR="00162BB9" w:rsidRDefault="00162BB9">
            <w:pPr>
              <w:jc w:val="both"/>
              <w:rPr>
                <w:rFonts w:ascii="Arial" w:eastAsia="Arial" w:hAnsi="Arial" w:cs="Arial"/>
                <w:sz w:val="22"/>
                <w:szCs w:val="22"/>
              </w:rPr>
            </w:pPr>
          </w:p>
          <w:p w14:paraId="14A59ECE" w14:textId="77777777" w:rsidR="00162BB9" w:rsidRDefault="00655E74">
            <w:pPr>
              <w:jc w:val="both"/>
              <w:rPr>
                <w:rFonts w:ascii="Arial" w:eastAsia="Arial" w:hAnsi="Arial" w:cs="Arial"/>
                <w:b/>
                <w:sz w:val="22"/>
                <w:szCs w:val="22"/>
              </w:rPr>
            </w:pPr>
            <w:r>
              <w:rPr>
                <w:rFonts w:ascii="Arial" w:eastAsia="Arial" w:hAnsi="Arial" w:cs="Arial"/>
                <w:b/>
                <w:sz w:val="22"/>
                <w:szCs w:val="22"/>
              </w:rPr>
              <w:t>Findings</w:t>
            </w:r>
          </w:p>
          <w:p w14:paraId="14A59ECF" w14:textId="77777777" w:rsidR="00162BB9" w:rsidRDefault="00655E74">
            <w:pPr>
              <w:jc w:val="both"/>
              <w:rPr>
                <w:rFonts w:ascii="Arial" w:eastAsia="Arial" w:hAnsi="Arial" w:cs="Arial"/>
                <w:sz w:val="22"/>
                <w:szCs w:val="22"/>
              </w:rPr>
            </w:pPr>
            <w:r>
              <w:rPr>
                <w:rFonts w:ascii="Arial" w:eastAsia="Arial" w:hAnsi="Arial" w:cs="Arial"/>
                <w:sz w:val="22"/>
                <w:szCs w:val="22"/>
              </w:rPr>
              <w:t xml:space="preserve">The paper unpacks how the settlement profiling tools have been revised, to include drone mapping, qualitative methods and additional climate and </w:t>
            </w:r>
            <w:proofErr w:type="spellStart"/>
            <w:r>
              <w:rPr>
                <w:rFonts w:ascii="Arial" w:eastAsia="Arial" w:hAnsi="Arial" w:cs="Arial"/>
                <w:sz w:val="22"/>
                <w:szCs w:val="22"/>
              </w:rPr>
              <w:t>NbS</w:t>
            </w:r>
            <w:proofErr w:type="spellEnd"/>
            <w:r>
              <w:rPr>
                <w:rFonts w:ascii="Arial" w:eastAsia="Arial" w:hAnsi="Arial" w:cs="Arial"/>
                <w:sz w:val="22"/>
                <w:szCs w:val="22"/>
              </w:rPr>
              <w:t xml:space="preserve">-related questions to better understand the risks to residents and the potential for </w:t>
            </w:r>
            <w:proofErr w:type="spellStart"/>
            <w:r>
              <w:rPr>
                <w:rFonts w:ascii="Arial" w:eastAsia="Arial" w:hAnsi="Arial" w:cs="Arial"/>
                <w:sz w:val="22"/>
                <w:szCs w:val="22"/>
              </w:rPr>
              <w:t>NbS</w:t>
            </w:r>
            <w:proofErr w:type="spellEnd"/>
            <w:r>
              <w:rPr>
                <w:rFonts w:ascii="Arial" w:eastAsia="Arial" w:hAnsi="Arial" w:cs="Arial"/>
                <w:sz w:val="22"/>
                <w:szCs w:val="22"/>
              </w:rPr>
              <w:t xml:space="preserve"> in </w:t>
            </w:r>
            <w:proofErr w:type="gramStart"/>
            <w:r>
              <w:rPr>
                <w:rFonts w:ascii="Arial" w:eastAsia="Arial" w:hAnsi="Arial" w:cs="Arial"/>
                <w:sz w:val="22"/>
                <w:szCs w:val="22"/>
              </w:rPr>
              <w:t>a number of</w:t>
            </w:r>
            <w:proofErr w:type="gramEnd"/>
            <w:r>
              <w:rPr>
                <w:rFonts w:ascii="Arial" w:eastAsia="Arial" w:hAnsi="Arial" w:cs="Arial"/>
                <w:sz w:val="22"/>
                <w:szCs w:val="22"/>
              </w:rPr>
              <w:t xml:space="preserve"> informal settlements in Cape Town and Lusaka. Although challenges arose in both the process of revising the methodology and implementing the revised tools, local capacity to assess and respond to climate risks in marginalized urban contexts was strengthened. This contributes to methodologies and capacity for building pathways for more inclusive, community-driven climate adaptation in informal settlemen</w:t>
            </w:r>
            <w:r>
              <w:rPr>
                <w:rFonts w:ascii="Arial" w:eastAsia="Arial" w:hAnsi="Arial" w:cs="Arial"/>
                <w:sz w:val="22"/>
                <w:szCs w:val="22"/>
              </w:rPr>
              <w:t>ts.</w:t>
            </w:r>
          </w:p>
          <w:p w14:paraId="14A59ED0" w14:textId="77777777" w:rsidR="00162BB9" w:rsidRDefault="00162BB9">
            <w:pPr>
              <w:jc w:val="both"/>
              <w:rPr>
                <w:rFonts w:ascii="Arial" w:eastAsia="Arial" w:hAnsi="Arial" w:cs="Arial"/>
                <w:b/>
                <w:sz w:val="22"/>
                <w:szCs w:val="22"/>
              </w:rPr>
            </w:pPr>
          </w:p>
          <w:p w14:paraId="14A59ED1" w14:textId="77777777" w:rsidR="00162BB9" w:rsidRDefault="00162BB9">
            <w:pPr>
              <w:jc w:val="both"/>
              <w:rPr>
                <w:rFonts w:ascii="Arial" w:eastAsia="Arial" w:hAnsi="Arial" w:cs="Arial"/>
                <w:b/>
                <w:sz w:val="22"/>
                <w:szCs w:val="22"/>
              </w:rPr>
            </w:pPr>
          </w:p>
          <w:p w14:paraId="14A59ED2" w14:textId="77777777" w:rsidR="00162BB9" w:rsidRDefault="00655E74">
            <w:pPr>
              <w:jc w:val="both"/>
              <w:rPr>
                <w:rFonts w:ascii="Arial" w:eastAsia="Arial" w:hAnsi="Arial" w:cs="Arial"/>
                <w:b/>
                <w:sz w:val="22"/>
                <w:szCs w:val="22"/>
                <w:u w:val="single"/>
              </w:rPr>
            </w:pPr>
            <w:r>
              <w:rPr>
                <w:rFonts w:ascii="Arial" w:eastAsia="Arial" w:hAnsi="Arial" w:cs="Arial"/>
                <w:b/>
                <w:sz w:val="22"/>
                <w:szCs w:val="22"/>
                <w:u w:val="single"/>
              </w:rPr>
              <w:t>Panellist 2</w:t>
            </w:r>
          </w:p>
          <w:p w14:paraId="14A59ED3" w14:textId="77777777" w:rsidR="00162BB9" w:rsidRDefault="00162BB9">
            <w:pPr>
              <w:jc w:val="both"/>
              <w:rPr>
                <w:rFonts w:ascii="Arial" w:eastAsia="Arial" w:hAnsi="Arial" w:cs="Arial"/>
                <w:b/>
                <w:sz w:val="22"/>
                <w:szCs w:val="22"/>
              </w:rPr>
            </w:pPr>
          </w:p>
          <w:p w14:paraId="14A59ED4" w14:textId="77777777" w:rsidR="00162BB9" w:rsidRDefault="00655E74">
            <w:pPr>
              <w:jc w:val="both"/>
              <w:rPr>
                <w:rFonts w:ascii="Arial" w:eastAsia="Arial" w:hAnsi="Arial" w:cs="Arial"/>
                <w:sz w:val="22"/>
                <w:szCs w:val="22"/>
              </w:rPr>
            </w:pPr>
            <w:r>
              <w:rPr>
                <w:rFonts w:ascii="Arial" w:eastAsia="Arial" w:hAnsi="Arial" w:cs="Arial"/>
                <w:b/>
                <w:sz w:val="22"/>
                <w:szCs w:val="22"/>
              </w:rPr>
              <w:t xml:space="preserve">Full Name: </w:t>
            </w:r>
            <w:r>
              <w:rPr>
                <w:rFonts w:ascii="Arial" w:eastAsia="Arial" w:hAnsi="Arial" w:cs="Arial"/>
                <w:sz w:val="22"/>
                <w:szCs w:val="22"/>
              </w:rPr>
              <w:t>Ruby Papeleras Haddad</w:t>
            </w:r>
          </w:p>
          <w:p w14:paraId="14A59ED5" w14:textId="77777777" w:rsidR="00162BB9" w:rsidRDefault="00655E74">
            <w:pPr>
              <w:jc w:val="both"/>
              <w:rPr>
                <w:rFonts w:ascii="Arial" w:eastAsia="Arial" w:hAnsi="Arial" w:cs="Arial"/>
                <w:sz w:val="22"/>
                <w:szCs w:val="22"/>
              </w:rPr>
            </w:pPr>
            <w:r>
              <w:rPr>
                <w:rFonts w:ascii="Arial" w:eastAsia="Arial" w:hAnsi="Arial" w:cs="Arial"/>
                <w:b/>
                <w:sz w:val="22"/>
                <w:szCs w:val="22"/>
              </w:rPr>
              <w:t xml:space="preserve">Organisation: </w:t>
            </w:r>
            <w:r>
              <w:rPr>
                <w:rFonts w:ascii="Arial" w:eastAsia="Arial" w:hAnsi="Arial" w:cs="Arial"/>
                <w:sz w:val="22"/>
                <w:szCs w:val="22"/>
              </w:rPr>
              <w:t>Homeless People's Federation Philippines, Inc. (HPFPI)</w:t>
            </w:r>
          </w:p>
          <w:p w14:paraId="14A59ED6" w14:textId="77777777" w:rsidR="00162BB9" w:rsidRDefault="00655E74">
            <w:pPr>
              <w:jc w:val="both"/>
              <w:rPr>
                <w:rFonts w:ascii="Arial" w:eastAsia="Arial" w:hAnsi="Arial" w:cs="Arial"/>
                <w:b/>
                <w:sz w:val="22"/>
                <w:szCs w:val="22"/>
              </w:rPr>
            </w:pPr>
            <w:r>
              <w:rPr>
                <w:rFonts w:ascii="Arial" w:eastAsia="Arial" w:hAnsi="Arial" w:cs="Arial"/>
                <w:b/>
                <w:sz w:val="22"/>
                <w:szCs w:val="22"/>
              </w:rPr>
              <w:t xml:space="preserve">Bio </w:t>
            </w:r>
          </w:p>
          <w:p w14:paraId="14A59ED7" w14:textId="77777777" w:rsidR="00162BB9" w:rsidRDefault="00655E74">
            <w:pPr>
              <w:jc w:val="both"/>
              <w:rPr>
                <w:rFonts w:ascii="Arial" w:eastAsia="Arial" w:hAnsi="Arial" w:cs="Arial"/>
                <w:sz w:val="22"/>
                <w:szCs w:val="22"/>
              </w:rPr>
            </w:pPr>
            <w:r>
              <w:rPr>
                <w:rFonts w:ascii="Arial" w:eastAsia="Arial" w:hAnsi="Arial" w:cs="Arial"/>
                <w:sz w:val="22"/>
                <w:szCs w:val="22"/>
              </w:rPr>
              <w:t>Ruby Haddad is a grassroots leader and National Coordinator of HPFPI, a network of 92 organized urban and rural poor groups across 14 cities and municipalities in the Philippines. She has 25 years of grounded experience in community organizing, training and education; local and national government coordination; and network formation.</w:t>
            </w:r>
          </w:p>
          <w:p w14:paraId="14A59ED8" w14:textId="77777777" w:rsidR="00162BB9" w:rsidRDefault="00655E74">
            <w:pPr>
              <w:jc w:val="both"/>
              <w:rPr>
                <w:rFonts w:ascii="Arial" w:eastAsia="Arial" w:hAnsi="Arial" w:cs="Arial"/>
                <w:b/>
                <w:sz w:val="22"/>
                <w:szCs w:val="22"/>
              </w:rPr>
            </w:pPr>
            <w:r>
              <w:rPr>
                <w:rFonts w:ascii="Arial" w:eastAsia="Arial" w:hAnsi="Arial" w:cs="Arial"/>
                <w:b/>
                <w:sz w:val="22"/>
                <w:szCs w:val="22"/>
              </w:rPr>
              <w:t xml:space="preserve"> </w:t>
            </w:r>
          </w:p>
          <w:p w14:paraId="14A59ED9" w14:textId="3C955C08" w:rsidR="00162BB9" w:rsidRDefault="00655E74">
            <w:pPr>
              <w:jc w:val="both"/>
              <w:rPr>
                <w:rFonts w:ascii="Arial" w:eastAsia="Arial" w:hAnsi="Arial" w:cs="Arial"/>
                <w:b/>
                <w:sz w:val="22"/>
                <w:szCs w:val="22"/>
              </w:rPr>
            </w:pPr>
            <w:r>
              <w:rPr>
                <w:rFonts w:ascii="Arial" w:eastAsia="Arial" w:hAnsi="Arial" w:cs="Arial"/>
                <w:b/>
                <w:sz w:val="22"/>
                <w:szCs w:val="22"/>
              </w:rPr>
              <w:t>Presentation 3: Building climate resilience through the lens of grassroots movement: lessons from the Philippines</w:t>
            </w:r>
          </w:p>
          <w:p w14:paraId="14A59EDA" w14:textId="77777777" w:rsidR="00162BB9" w:rsidRDefault="00655E74">
            <w:pPr>
              <w:jc w:val="both"/>
              <w:rPr>
                <w:rFonts w:ascii="Arial" w:eastAsia="Arial" w:hAnsi="Arial" w:cs="Arial"/>
                <w:b/>
                <w:sz w:val="22"/>
                <w:szCs w:val="22"/>
              </w:rPr>
            </w:pPr>
            <w:r>
              <w:rPr>
                <w:rFonts w:ascii="Arial" w:eastAsia="Arial" w:hAnsi="Arial" w:cs="Arial"/>
                <w:b/>
                <w:sz w:val="22"/>
                <w:szCs w:val="22"/>
              </w:rPr>
              <w:t>Introduction</w:t>
            </w:r>
          </w:p>
          <w:p w14:paraId="14A59EDB" w14:textId="77777777" w:rsidR="00162BB9" w:rsidRDefault="00655E74">
            <w:pPr>
              <w:jc w:val="both"/>
              <w:rPr>
                <w:rFonts w:ascii="Arial" w:eastAsia="Arial" w:hAnsi="Arial" w:cs="Arial"/>
                <w:sz w:val="22"/>
                <w:szCs w:val="22"/>
              </w:rPr>
            </w:pPr>
            <w:r>
              <w:rPr>
                <w:rFonts w:ascii="Arial" w:eastAsia="Arial" w:hAnsi="Arial" w:cs="Arial"/>
                <w:sz w:val="22"/>
                <w:szCs w:val="22"/>
              </w:rPr>
              <w:t xml:space="preserve">While there is growing interest in addressing the impacts of climate change in informal settlements, much of the initiatives and resources remain at the hands of technocrats, </w:t>
            </w:r>
            <w:r>
              <w:rPr>
                <w:rFonts w:ascii="Arial" w:eastAsia="Arial" w:hAnsi="Arial" w:cs="Arial"/>
                <w:sz w:val="22"/>
                <w:szCs w:val="22"/>
              </w:rPr>
              <w:lastRenderedPageBreak/>
              <w:t>making the overall process of resilience-building exclusionary especially for low-income individuals and groups in urban areas.</w:t>
            </w:r>
          </w:p>
          <w:p w14:paraId="14A59EDC" w14:textId="77777777" w:rsidR="00162BB9" w:rsidRDefault="00655E74">
            <w:pPr>
              <w:spacing w:before="240" w:after="240"/>
              <w:jc w:val="both"/>
              <w:rPr>
                <w:rFonts w:ascii="Arial" w:eastAsia="Arial" w:hAnsi="Arial" w:cs="Arial"/>
                <w:b/>
                <w:sz w:val="22"/>
                <w:szCs w:val="22"/>
              </w:rPr>
            </w:pPr>
            <w:r>
              <w:rPr>
                <w:rFonts w:ascii="Arial" w:eastAsia="Arial" w:hAnsi="Arial" w:cs="Arial"/>
                <w:b/>
                <w:sz w:val="22"/>
                <w:szCs w:val="22"/>
              </w:rPr>
              <w:t>Objectives and Methodology</w:t>
            </w:r>
          </w:p>
          <w:p w14:paraId="14A59EDD" w14:textId="77777777" w:rsidR="00162BB9" w:rsidRDefault="00655E74">
            <w:pPr>
              <w:spacing w:before="240" w:after="240"/>
              <w:jc w:val="both"/>
              <w:rPr>
                <w:rFonts w:ascii="Arial" w:eastAsia="Arial" w:hAnsi="Arial" w:cs="Arial"/>
                <w:sz w:val="22"/>
                <w:szCs w:val="22"/>
              </w:rPr>
            </w:pPr>
            <w:r>
              <w:rPr>
                <w:rFonts w:ascii="Arial" w:eastAsia="Arial" w:hAnsi="Arial" w:cs="Arial"/>
                <w:sz w:val="22"/>
                <w:szCs w:val="22"/>
              </w:rPr>
              <w:t xml:space="preserve">In the Philippines, the RURBANISE project uses a citizen science approach to co-create climate resilience strategies that are grounded in local knowledge backed by scientific studies. Seven homeowner associations (HOAs) with varying contexts of disaster, governance and urbanisation were selected as project partners along with a consortium of academics and practitioners to examine differential vulnerabilities across and within </w:t>
            </w:r>
            <w:proofErr w:type="gramStart"/>
            <w:r>
              <w:rPr>
                <w:rFonts w:ascii="Arial" w:eastAsia="Arial" w:hAnsi="Arial" w:cs="Arial"/>
                <w:sz w:val="22"/>
                <w:szCs w:val="22"/>
              </w:rPr>
              <w:t>communities, and</w:t>
            </w:r>
            <w:proofErr w:type="gramEnd"/>
            <w:r>
              <w:rPr>
                <w:rFonts w:ascii="Arial" w:eastAsia="Arial" w:hAnsi="Arial" w:cs="Arial"/>
                <w:sz w:val="22"/>
                <w:szCs w:val="22"/>
              </w:rPr>
              <w:t xml:space="preserve"> inform local policy and action through the lens of intersectionality. RURBANISE features four work packages anchored on the strategic plan of the Homeless People's Federation Philippines, Inc. (HPFPI) to ensure sustainability at the grassroots level, even beyond project period.</w:t>
            </w:r>
          </w:p>
          <w:p w14:paraId="14A59EDE" w14:textId="77777777" w:rsidR="00162BB9" w:rsidRDefault="00655E74">
            <w:pPr>
              <w:jc w:val="both"/>
              <w:rPr>
                <w:rFonts w:ascii="Arial" w:eastAsia="Arial" w:hAnsi="Arial" w:cs="Arial"/>
                <w:b/>
                <w:sz w:val="22"/>
                <w:szCs w:val="22"/>
              </w:rPr>
            </w:pPr>
            <w:r>
              <w:rPr>
                <w:rFonts w:ascii="Arial" w:eastAsia="Arial" w:hAnsi="Arial" w:cs="Arial"/>
                <w:b/>
                <w:sz w:val="22"/>
                <w:szCs w:val="22"/>
              </w:rPr>
              <w:t>Findings</w:t>
            </w:r>
          </w:p>
          <w:p w14:paraId="14A59EDF" w14:textId="77777777" w:rsidR="00162BB9" w:rsidRDefault="00655E74">
            <w:pPr>
              <w:numPr>
                <w:ilvl w:val="0"/>
                <w:numId w:val="3"/>
              </w:numPr>
              <w:spacing w:before="240"/>
              <w:jc w:val="both"/>
              <w:rPr>
                <w:rFonts w:ascii="Arial" w:eastAsia="Arial" w:hAnsi="Arial" w:cs="Arial"/>
                <w:sz w:val="22"/>
                <w:szCs w:val="22"/>
              </w:rPr>
            </w:pPr>
            <w:r>
              <w:rPr>
                <w:rFonts w:ascii="Arial" w:eastAsia="Arial" w:hAnsi="Arial" w:cs="Arial"/>
                <w:sz w:val="22"/>
                <w:szCs w:val="22"/>
              </w:rPr>
              <w:t>Climate resilience is better appreciated, understood and acted upon by individuals and households in informal settlements when framed in connection to their immediate priorities and long-term aspirations such as safe and affordable housing, equitable access to basic utilities and social services, and improved livelihoods, among others.</w:t>
            </w:r>
          </w:p>
          <w:p w14:paraId="14A59EE0" w14:textId="77777777" w:rsidR="00162BB9" w:rsidRDefault="00655E74">
            <w:pPr>
              <w:numPr>
                <w:ilvl w:val="0"/>
                <w:numId w:val="3"/>
              </w:numPr>
              <w:jc w:val="both"/>
              <w:rPr>
                <w:rFonts w:ascii="Arial" w:eastAsia="Arial" w:hAnsi="Arial" w:cs="Arial"/>
                <w:sz w:val="22"/>
                <w:szCs w:val="22"/>
              </w:rPr>
            </w:pPr>
            <w:r>
              <w:rPr>
                <w:rFonts w:ascii="Arial" w:eastAsia="Arial" w:hAnsi="Arial" w:cs="Arial"/>
                <w:sz w:val="22"/>
                <w:szCs w:val="22"/>
              </w:rPr>
              <w:t>Land and housing tenure security, community leadership and level of organizational maturity, and status of institutional relationship with stakeholders particularly local governments are among the top indicators/drivers of community resilience in informal settlements.</w:t>
            </w:r>
          </w:p>
          <w:p w14:paraId="14A59EE1" w14:textId="77777777" w:rsidR="00162BB9" w:rsidRDefault="00162BB9">
            <w:pPr>
              <w:spacing w:before="240"/>
              <w:ind w:left="720"/>
              <w:jc w:val="both"/>
              <w:rPr>
                <w:rFonts w:ascii="Arial" w:eastAsia="Arial" w:hAnsi="Arial" w:cs="Arial"/>
                <w:sz w:val="22"/>
                <w:szCs w:val="22"/>
              </w:rPr>
            </w:pPr>
          </w:p>
          <w:p w14:paraId="14A59EE2" w14:textId="77777777" w:rsidR="00162BB9" w:rsidRDefault="00655E74">
            <w:pPr>
              <w:spacing w:after="240"/>
              <w:jc w:val="both"/>
              <w:rPr>
                <w:rFonts w:ascii="Arial" w:eastAsia="Arial" w:hAnsi="Arial" w:cs="Arial"/>
                <w:b/>
                <w:sz w:val="22"/>
                <w:szCs w:val="22"/>
                <w:u w:val="single"/>
              </w:rPr>
            </w:pPr>
            <w:r>
              <w:rPr>
                <w:rFonts w:ascii="Arial" w:eastAsia="Arial" w:hAnsi="Arial" w:cs="Arial"/>
                <w:b/>
                <w:sz w:val="22"/>
                <w:szCs w:val="22"/>
                <w:u w:val="single"/>
              </w:rPr>
              <w:t>Panellist 3</w:t>
            </w:r>
          </w:p>
          <w:p w14:paraId="14A59EE3" w14:textId="77777777" w:rsidR="00162BB9" w:rsidRDefault="00655E74">
            <w:pPr>
              <w:jc w:val="both"/>
              <w:rPr>
                <w:rFonts w:ascii="Arial" w:eastAsia="Arial" w:hAnsi="Arial" w:cs="Arial"/>
                <w:b/>
                <w:sz w:val="22"/>
                <w:szCs w:val="22"/>
              </w:rPr>
            </w:pPr>
            <w:r>
              <w:rPr>
                <w:rFonts w:ascii="Arial" w:eastAsia="Arial" w:hAnsi="Arial" w:cs="Arial"/>
                <w:b/>
                <w:sz w:val="22"/>
                <w:szCs w:val="22"/>
              </w:rPr>
              <w:t>Full Name: Prof Catherine Sutherland</w:t>
            </w:r>
          </w:p>
          <w:p w14:paraId="14A59EE4" w14:textId="77777777" w:rsidR="00162BB9" w:rsidRDefault="00655E74">
            <w:pPr>
              <w:jc w:val="both"/>
              <w:rPr>
                <w:rFonts w:ascii="Arial" w:eastAsia="Arial" w:hAnsi="Arial" w:cs="Arial"/>
                <w:b/>
                <w:sz w:val="22"/>
                <w:szCs w:val="22"/>
              </w:rPr>
            </w:pPr>
            <w:r>
              <w:rPr>
                <w:rFonts w:ascii="Arial" w:eastAsia="Arial" w:hAnsi="Arial" w:cs="Arial"/>
                <w:b/>
                <w:sz w:val="22"/>
                <w:szCs w:val="22"/>
              </w:rPr>
              <w:t>Organisation: University of KwaZulu-Natal</w:t>
            </w:r>
          </w:p>
          <w:p w14:paraId="30C1DCE8" w14:textId="77777777" w:rsidR="00655E74" w:rsidRDefault="00655E74" w:rsidP="00655E74">
            <w:pPr>
              <w:jc w:val="both"/>
              <w:rPr>
                <w:rFonts w:ascii="Arial" w:eastAsia="Arial" w:hAnsi="Arial" w:cs="Arial"/>
                <w:b/>
                <w:sz w:val="22"/>
                <w:szCs w:val="22"/>
              </w:rPr>
            </w:pPr>
            <w:r>
              <w:rPr>
                <w:rFonts w:ascii="Arial" w:eastAsia="Arial" w:hAnsi="Arial" w:cs="Arial"/>
                <w:b/>
                <w:sz w:val="22"/>
                <w:szCs w:val="22"/>
              </w:rPr>
              <w:t>Bio:</w:t>
            </w:r>
          </w:p>
          <w:p w14:paraId="14A59EE6" w14:textId="12145307" w:rsidR="00162BB9" w:rsidRDefault="00655E74" w:rsidP="00655E74">
            <w:pPr>
              <w:jc w:val="both"/>
              <w:rPr>
                <w:rFonts w:ascii="Arial" w:eastAsia="Arial" w:hAnsi="Arial" w:cs="Arial"/>
                <w:sz w:val="22"/>
                <w:szCs w:val="22"/>
              </w:rPr>
            </w:pPr>
            <w:r>
              <w:rPr>
                <w:rFonts w:ascii="Arial" w:eastAsia="Arial" w:hAnsi="Arial" w:cs="Arial"/>
                <w:sz w:val="22"/>
                <w:szCs w:val="22"/>
              </w:rPr>
              <w:t>Professor Cathy Sutherland</w:t>
            </w:r>
            <w:r>
              <w:rPr>
                <w:rFonts w:ascii="Arial" w:eastAsia="Arial" w:hAnsi="Arial" w:cs="Arial"/>
                <w:sz w:val="22"/>
                <w:szCs w:val="22"/>
                <w:highlight w:val="white"/>
              </w:rPr>
              <w:t xml:space="preserve"> from the School of Built Environment and Development Studies and WASH R&amp;D Centre at the University of KwaZulu-Natal works at the interface between social and environmental systems with a focus on sustainable development. Her research interests are in the relationship between society, space and environment and how this shapes environmental politics and policy making.</w:t>
            </w:r>
            <w:r>
              <w:rPr>
                <w:rFonts w:ascii="Arial" w:eastAsia="Arial" w:hAnsi="Arial" w:cs="Arial"/>
                <w:color w:val="7A7A7A"/>
                <w:sz w:val="22"/>
                <w:szCs w:val="22"/>
                <w:highlight w:val="white"/>
              </w:rPr>
              <w:t xml:space="preserve"> </w:t>
            </w:r>
          </w:p>
          <w:p w14:paraId="14A59EE7" w14:textId="77777777" w:rsidR="00162BB9" w:rsidRDefault="00162BB9">
            <w:pPr>
              <w:rPr>
                <w:rFonts w:ascii="Arial" w:eastAsia="Arial" w:hAnsi="Arial" w:cs="Arial"/>
                <w:b/>
                <w:sz w:val="22"/>
                <w:szCs w:val="22"/>
              </w:rPr>
            </w:pPr>
          </w:p>
          <w:p w14:paraId="14A59EE8" w14:textId="77777777" w:rsidR="00162BB9" w:rsidRDefault="00655E74">
            <w:pPr>
              <w:rPr>
                <w:rFonts w:ascii="Arial" w:eastAsia="Arial" w:hAnsi="Arial" w:cs="Arial"/>
                <w:b/>
                <w:sz w:val="22"/>
                <w:szCs w:val="22"/>
              </w:rPr>
            </w:pPr>
            <w:r>
              <w:rPr>
                <w:rFonts w:ascii="Arial" w:eastAsia="Arial" w:hAnsi="Arial" w:cs="Arial"/>
                <w:b/>
                <w:sz w:val="22"/>
                <w:szCs w:val="22"/>
              </w:rPr>
              <w:t xml:space="preserve">Title of </w:t>
            </w:r>
            <w:r>
              <w:rPr>
                <w:rFonts w:ascii="Arial" w:eastAsia="Arial" w:hAnsi="Arial" w:cs="Arial"/>
                <w:b/>
                <w:sz w:val="22"/>
                <w:szCs w:val="22"/>
              </w:rPr>
              <w:t>Presentation: The Centrality of Power and Networks in Co-producing Urban Resilience in Durban, South Africa</w:t>
            </w:r>
          </w:p>
          <w:p w14:paraId="14A59EE9" w14:textId="77777777" w:rsidR="00162BB9" w:rsidRDefault="00162BB9">
            <w:pPr>
              <w:jc w:val="both"/>
              <w:rPr>
                <w:rFonts w:ascii="Arial" w:eastAsia="Arial" w:hAnsi="Arial" w:cs="Arial"/>
                <w:b/>
                <w:sz w:val="22"/>
                <w:szCs w:val="22"/>
              </w:rPr>
            </w:pPr>
          </w:p>
          <w:p w14:paraId="14A59EEA" w14:textId="77777777" w:rsidR="00162BB9" w:rsidRDefault="00655E74">
            <w:pPr>
              <w:spacing w:after="160"/>
              <w:jc w:val="both"/>
              <w:rPr>
                <w:rFonts w:ascii="Arial" w:eastAsia="Arial" w:hAnsi="Arial" w:cs="Arial"/>
                <w:sz w:val="22"/>
                <w:szCs w:val="22"/>
              </w:rPr>
            </w:pPr>
            <w:r>
              <w:rPr>
                <w:rFonts w:ascii="Arial" w:eastAsia="Arial" w:hAnsi="Arial" w:cs="Arial"/>
                <w:sz w:val="22"/>
                <w:szCs w:val="22"/>
              </w:rPr>
              <w:t>Authors: Hayley Leck, Catherine Sutherland, Joanne Douwes and Alejandro Barcena</w:t>
            </w:r>
          </w:p>
          <w:p w14:paraId="14A59EEB" w14:textId="77777777" w:rsidR="00162BB9" w:rsidRDefault="00655E74">
            <w:pPr>
              <w:spacing w:after="160"/>
              <w:jc w:val="both"/>
              <w:rPr>
                <w:rFonts w:ascii="Arial" w:eastAsia="Arial" w:hAnsi="Arial" w:cs="Arial"/>
                <w:b/>
                <w:sz w:val="22"/>
                <w:szCs w:val="22"/>
              </w:rPr>
            </w:pPr>
            <w:r>
              <w:rPr>
                <w:rFonts w:ascii="Arial" w:eastAsia="Arial" w:hAnsi="Arial" w:cs="Arial"/>
                <w:b/>
                <w:sz w:val="22"/>
                <w:szCs w:val="22"/>
              </w:rPr>
              <w:t>Introduction</w:t>
            </w:r>
          </w:p>
          <w:p w14:paraId="14A59EEC" w14:textId="77777777" w:rsidR="00162BB9" w:rsidRDefault="00655E74">
            <w:pPr>
              <w:spacing w:after="160"/>
              <w:jc w:val="both"/>
              <w:rPr>
                <w:rFonts w:ascii="Arial" w:eastAsia="Arial" w:hAnsi="Arial" w:cs="Arial"/>
                <w:sz w:val="22"/>
                <w:szCs w:val="22"/>
              </w:rPr>
            </w:pPr>
            <w:r>
              <w:rPr>
                <w:rFonts w:ascii="Arial" w:eastAsia="Arial" w:hAnsi="Arial" w:cs="Arial"/>
                <w:sz w:val="22"/>
                <w:szCs w:val="22"/>
              </w:rPr>
              <w:t xml:space="preserve">Climate change is projected to exacerbate exposure to hazards such as floods. However, current urban governance arrangements systematically marginalise informal settlement residents, limiting their access to and influence over municipal and national resources. Exclusionary urban governance contributes to uneven exposure and vulnerability, making inclusive urban climate resilience a policy priority. </w:t>
            </w:r>
          </w:p>
          <w:p w14:paraId="14A59EED" w14:textId="77777777" w:rsidR="00162BB9" w:rsidRDefault="00655E74">
            <w:pPr>
              <w:spacing w:after="160"/>
              <w:jc w:val="both"/>
              <w:rPr>
                <w:rFonts w:ascii="Arial" w:eastAsia="Arial" w:hAnsi="Arial" w:cs="Arial"/>
                <w:b/>
                <w:sz w:val="22"/>
                <w:szCs w:val="22"/>
              </w:rPr>
            </w:pPr>
            <w:r>
              <w:rPr>
                <w:rFonts w:ascii="Arial" w:eastAsia="Arial" w:hAnsi="Arial" w:cs="Arial"/>
                <w:b/>
                <w:sz w:val="22"/>
                <w:szCs w:val="22"/>
              </w:rPr>
              <w:lastRenderedPageBreak/>
              <w:t>Objectives</w:t>
            </w:r>
          </w:p>
          <w:p w14:paraId="14A59EEE" w14:textId="77777777" w:rsidR="00162BB9" w:rsidRDefault="00655E74">
            <w:pPr>
              <w:spacing w:after="160"/>
              <w:jc w:val="both"/>
              <w:rPr>
                <w:rFonts w:ascii="Arial" w:eastAsia="Arial" w:hAnsi="Arial" w:cs="Arial"/>
                <w:sz w:val="22"/>
                <w:szCs w:val="22"/>
              </w:rPr>
            </w:pPr>
            <w:r>
              <w:rPr>
                <w:rFonts w:ascii="Arial" w:eastAsia="Arial" w:hAnsi="Arial" w:cs="Arial"/>
                <w:sz w:val="22"/>
                <w:szCs w:val="22"/>
              </w:rPr>
              <w:t xml:space="preserve">This paper focuses on interventions under the CLARE INACCT Resilience Project in two informal settlement communities in Durban, South Africa, that included diverse stakeholders across scales. The aim was to facilitate knowledge sharing on flood risks and response strategies, enhance community-led research capacity, and promote inclusive and participatory governance for more effective flood management. </w:t>
            </w:r>
          </w:p>
          <w:p w14:paraId="14A59EEF" w14:textId="77777777" w:rsidR="00162BB9" w:rsidRDefault="00655E74">
            <w:pPr>
              <w:spacing w:after="160"/>
              <w:jc w:val="both"/>
              <w:rPr>
                <w:rFonts w:ascii="Arial" w:eastAsia="Arial" w:hAnsi="Arial" w:cs="Arial"/>
                <w:b/>
                <w:sz w:val="22"/>
                <w:szCs w:val="22"/>
              </w:rPr>
            </w:pPr>
            <w:r>
              <w:rPr>
                <w:rFonts w:ascii="Arial" w:eastAsia="Arial" w:hAnsi="Arial" w:cs="Arial"/>
                <w:b/>
                <w:sz w:val="22"/>
                <w:szCs w:val="22"/>
              </w:rPr>
              <w:t>Methodology</w:t>
            </w:r>
          </w:p>
          <w:p w14:paraId="14A59EF0" w14:textId="77777777" w:rsidR="00162BB9" w:rsidRDefault="00655E74">
            <w:pPr>
              <w:spacing w:after="160"/>
              <w:jc w:val="both"/>
              <w:rPr>
                <w:rFonts w:ascii="Arial" w:eastAsia="Arial" w:hAnsi="Arial" w:cs="Arial"/>
                <w:sz w:val="22"/>
                <w:szCs w:val="22"/>
              </w:rPr>
            </w:pPr>
            <w:r>
              <w:rPr>
                <w:rFonts w:ascii="Arial" w:eastAsia="Arial" w:hAnsi="Arial" w:cs="Arial"/>
                <w:sz w:val="22"/>
                <w:szCs w:val="22"/>
              </w:rPr>
              <w:t>An analysis of actor and institutional relationships, including power and distribution of resources, informed the design of learning labs, which included the use of a range of co-production methodologies. Arts-based methods helped foster alternative, interactive, and non-verbal forms of expression.</w:t>
            </w:r>
          </w:p>
          <w:p w14:paraId="14A59EF1" w14:textId="77777777" w:rsidR="00162BB9" w:rsidRDefault="00655E74">
            <w:pPr>
              <w:spacing w:after="160"/>
              <w:jc w:val="both"/>
              <w:rPr>
                <w:rFonts w:ascii="Arial" w:eastAsia="Arial" w:hAnsi="Arial" w:cs="Arial"/>
                <w:b/>
                <w:sz w:val="22"/>
                <w:szCs w:val="22"/>
              </w:rPr>
            </w:pPr>
            <w:r>
              <w:rPr>
                <w:rFonts w:ascii="Arial" w:eastAsia="Arial" w:hAnsi="Arial" w:cs="Arial"/>
                <w:b/>
                <w:sz w:val="22"/>
                <w:szCs w:val="22"/>
              </w:rPr>
              <w:t>Findings</w:t>
            </w:r>
          </w:p>
          <w:p w14:paraId="14A59EF2" w14:textId="77777777" w:rsidR="00162BB9" w:rsidRDefault="00655E74">
            <w:pPr>
              <w:spacing w:after="160"/>
              <w:jc w:val="both"/>
              <w:rPr>
                <w:rFonts w:ascii="Arial" w:eastAsia="Arial" w:hAnsi="Arial" w:cs="Arial"/>
                <w:sz w:val="22"/>
                <w:szCs w:val="22"/>
              </w:rPr>
            </w:pPr>
            <w:r>
              <w:rPr>
                <w:rFonts w:ascii="Arial" w:eastAsia="Arial" w:hAnsi="Arial" w:cs="Arial"/>
                <w:sz w:val="22"/>
                <w:szCs w:val="22"/>
              </w:rPr>
              <w:t xml:space="preserve">Through this process, communities shared their knowledge, experiences and practices in responding to flood risk. The </w:t>
            </w:r>
            <w:proofErr w:type="gramStart"/>
            <w:r>
              <w:rPr>
                <w:rFonts w:ascii="Arial" w:eastAsia="Arial" w:hAnsi="Arial" w:cs="Arial"/>
                <w:sz w:val="22"/>
                <w:szCs w:val="22"/>
              </w:rPr>
              <w:t>intervention built</w:t>
            </w:r>
            <w:proofErr w:type="gramEnd"/>
            <w:r>
              <w:rPr>
                <w:rFonts w:ascii="Arial" w:eastAsia="Arial" w:hAnsi="Arial" w:cs="Arial"/>
                <w:sz w:val="22"/>
                <w:szCs w:val="22"/>
              </w:rPr>
              <w:t xml:space="preserve"> relations within the informal settlements, and between informal settlements and local government. Inclusive approaches enabled more equitable participation across diverse groups, including those differentiated by age, gender, leadership roles, and stakeholder affiliations. The research highlights the valuable opportunities created for networking and relationship-building, enhancing understanding of the informal settlement context experiencing flood risks and adaptation interventions imple</w:t>
            </w:r>
            <w:r>
              <w:rPr>
                <w:rFonts w:ascii="Arial" w:eastAsia="Arial" w:hAnsi="Arial" w:cs="Arial"/>
                <w:sz w:val="22"/>
                <w:szCs w:val="22"/>
              </w:rPr>
              <w:t xml:space="preserve">mented. The mutual value of integrating scientific and local knowledge to strengths flood preparedness and response efforts was also critical to success. </w:t>
            </w:r>
          </w:p>
          <w:p w14:paraId="14A59EF3" w14:textId="77777777" w:rsidR="00162BB9" w:rsidRDefault="00162BB9">
            <w:pPr>
              <w:spacing w:after="160"/>
              <w:jc w:val="both"/>
              <w:rPr>
                <w:rFonts w:ascii="Arial" w:eastAsia="Arial" w:hAnsi="Arial" w:cs="Arial"/>
                <w:sz w:val="22"/>
                <w:szCs w:val="22"/>
              </w:rPr>
            </w:pPr>
          </w:p>
          <w:p w14:paraId="14A59EF4" w14:textId="77777777" w:rsidR="00162BB9" w:rsidRDefault="00655E74">
            <w:pPr>
              <w:spacing w:after="160"/>
              <w:jc w:val="both"/>
              <w:rPr>
                <w:rFonts w:ascii="Arial" w:eastAsia="Arial" w:hAnsi="Arial" w:cs="Arial"/>
                <w:b/>
                <w:sz w:val="22"/>
                <w:szCs w:val="22"/>
                <w:u w:val="single"/>
              </w:rPr>
            </w:pPr>
            <w:r>
              <w:rPr>
                <w:rFonts w:ascii="Arial" w:eastAsia="Arial" w:hAnsi="Arial" w:cs="Arial"/>
                <w:b/>
                <w:sz w:val="22"/>
                <w:szCs w:val="22"/>
                <w:u w:val="single"/>
              </w:rPr>
              <w:t>Panellist 4</w:t>
            </w:r>
          </w:p>
          <w:p w14:paraId="14A59EF5" w14:textId="77777777" w:rsidR="00162BB9" w:rsidRDefault="00655E74">
            <w:pPr>
              <w:spacing w:after="200"/>
              <w:jc w:val="both"/>
              <w:rPr>
                <w:rFonts w:ascii="Arial" w:eastAsia="Arial" w:hAnsi="Arial" w:cs="Arial"/>
                <w:sz w:val="22"/>
                <w:szCs w:val="22"/>
              </w:rPr>
            </w:pPr>
            <w:r>
              <w:rPr>
                <w:rFonts w:ascii="Arial" w:eastAsia="Arial" w:hAnsi="Arial" w:cs="Arial"/>
                <w:b/>
                <w:sz w:val="22"/>
                <w:szCs w:val="22"/>
              </w:rPr>
              <w:t xml:space="preserve">Full Name: </w:t>
            </w:r>
            <w:r>
              <w:rPr>
                <w:rFonts w:ascii="Arial" w:eastAsia="Arial" w:hAnsi="Arial" w:cs="Arial"/>
                <w:sz w:val="22"/>
                <w:szCs w:val="22"/>
              </w:rPr>
              <w:t xml:space="preserve">Dr. Mark </w:t>
            </w:r>
            <w:proofErr w:type="spellStart"/>
            <w:r>
              <w:rPr>
                <w:rFonts w:ascii="Arial" w:eastAsia="Arial" w:hAnsi="Arial" w:cs="Arial"/>
                <w:sz w:val="22"/>
                <w:szCs w:val="22"/>
              </w:rPr>
              <w:t>Kuyo</w:t>
            </w:r>
            <w:proofErr w:type="spellEnd"/>
            <w:r>
              <w:rPr>
                <w:rFonts w:ascii="Arial" w:eastAsia="Arial" w:hAnsi="Arial" w:cs="Arial"/>
                <w:sz w:val="22"/>
                <w:szCs w:val="22"/>
              </w:rPr>
              <w:t xml:space="preserve"> Ojal</w:t>
            </w:r>
          </w:p>
          <w:p w14:paraId="14A59EF6" w14:textId="77777777" w:rsidR="00162BB9" w:rsidRDefault="00655E74">
            <w:pPr>
              <w:spacing w:after="200"/>
              <w:jc w:val="both"/>
              <w:rPr>
                <w:rFonts w:ascii="Arial" w:eastAsia="Arial" w:hAnsi="Arial" w:cs="Arial"/>
                <w:sz w:val="22"/>
                <w:szCs w:val="22"/>
              </w:rPr>
            </w:pPr>
            <w:r>
              <w:rPr>
                <w:rFonts w:ascii="Arial" w:eastAsia="Arial" w:hAnsi="Arial" w:cs="Arial"/>
                <w:b/>
                <w:sz w:val="22"/>
                <w:szCs w:val="22"/>
              </w:rPr>
              <w:t xml:space="preserve">Organisation: </w:t>
            </w:r>
            <w:r>
              <w:rPr>
                <w:rFonts w:ascii="Arial" w:eastAsia="Arial" w:hAnsi="Arial" w:cs="Arial"/>
                <w:sz w:val="22"/>
                <w:szCs w:val="22"/>
              </w:rPr>
              <w:t>University College London and United Nations Human Settlements Programme (UN-Habitat)</w:t>
            </w:r>
          </w:p>
          <w:p w14:paraId="14A59EF7" w14:textId="77777777" w:rsidR="00162BB9" w:rsidRDefault="00655E74">
            <w:pPr>
              <w:spacing w:after="200"/>
              <w:jc w:val="both"/>
              <w:rPr>
                <w:rFonts w:ascii="Arial" w:eastAsia="Arial" w:hAnsi="Arial" w:cs="Arial"/>
                <w:sz w:val="22"/>
                <w:szCs w:val="22"/>
              </w:rPr>
            </w:pPr>
            <w:r>
              <w:rPr>
                <w:rFonts w:ascii="Arial" w:eastAsia="Arial" w:hAnsi="Arial" w:cs="Arial"/>
                <w:b/>
                <w:sz w:val="22"/>
                <w:szCs w:val="22"/>
              </w:rPr>
              <w:t xml:space="preserve">Bio: </w:t>
            </w:r>
            <w:r>
              <w:rPr>
                <w:rFonts w:ascii="Arial" w:eastAsia="Arial" w:hAnsi="Arial" w:cs="Arial"/>
                <w:sz w:val="22"/>
                <w:szCs w:val="22"/>
              </w:rPr>
              <w:t>Mark is an Urban Designer and Disaster Risk Reduction scholar focused on African urbanism. He has 10 years of grounded experience spanning advocacy, policy, and technical advisory, with research interests in institutions and social relationships shaping urbanism and disaster risk creation. At UN-Habitat, he specializes in Urban Mobility and Disaster Resilience.</w:t>
            </w:r>
          </w:p>
          <w:p w14:paraId="14A59EF8" w14:textId="77777777" w:rsidR="00162BB9" w:rsidRDefault="00655E74">
            <w:pPr>
              <w:spacing w:after="200"/>
              <w:jc w:val="both"/>
              <w:rPr>
                <w:rFonts w:ascii="Arial" w:eastAsia="Arial" w:hAnsi="Arial" w:cs="Arial"/>
                <w:b/>
                <w:sz w:val="22"/>
                <w:szCs w:val="22"/>
              </w:rPr>
            </w:pPr>
            <w:r>
              <w:rPr>
                <w:rFonts w:ascii="Arial" w:eastAsia="Arial" w:hAnsi="Arial" w:cs="Arial"/>
                <w:b/>
                <w:sz w:val="22"/>
                <w:szCs w:val="22"/>
              </w:rPr>
              <w:t xml:space="preserve">Title of </w:t>
            </w:r>
            <w:r>
              <w:rPr>
                <w:rFonts w:ascii="Arial" w:eastAsia="Arial" w:hAnsi="Arial" w:cs="Arial"/>
                <w:b/>
                <w:sz w:val="22"/>
                <w:szCs w:val="22"/>
              </w:rPr>
              <w:t xml:space="preserve">Presentation: </w:t>
            </w:r>
            <w:r>
              <w:rPr>
                <w:rFonts w:ascii="Arial" w:eastAsia="Arial" w:hAnsi="Arial" w:cs="Arial"/>
                <w:sz w:val="22"/>
                <w:szCs w:val="22"/>
              </w:rPr>
              <w:t>Elusiveness of urban transformation in pro-poor urban upgrading</w:t>
            </w:r>
            <w:r>
              <w:rPr>
                <w:rFonts w:ascii="Arial" w:eastAsia="Arial" w:hAnsi="Arial" w:cs="Arial"/>
                <w:b/>
                <w:sz w:val="22"/>
                <w:szCs w:val="22"/>
              </w:rPr>
              <w:t xml:space="preserve"> </w:t>
            </w:r>
          </w:p>
          <w:p w14:paraId="14A59EF9" w14:textId="77777777" w:rsidR="00162BB9" w:rsidRDefault="00655E74">
            <w:pPr>
              <w:spacing w:after="200"/>
              <w:jc w:val="both"/>
              <w:rPr>
                <w:rFonts w:ascii="Arial" w:eastAsia="Arial" w:hAnsi="Arial" w:cs="Arial"/>
                <w:sz w:val="22"/>
                <w:szCs w:val="22"/>
              </w:rPr>
            </w:pPr>
            <w:r>
              <w:rPr>
                <w:rFonts w:ascii="Arial" w:eastAsia="Arial" w:hAnsi="Arial" w:cs="Arial"/>
                <w:b/>
                <w:sz w:val="22"/>
                <w:szCs w:val="22"/>
              </w:rPr>
              <w:t xml:space="preserve">Authors: </w:t>
            </w:r>
            <w:r>
              <w:rPr>
                <w:rFonts w:ascii="Arial" w:eastAsia="Arial" w:hAnsi="Arial" w:cs="Arial"/>
                <w:sz w:val="22"/>
                <w:szCs w:val="22"/>
              </w:rPr>
              <w:t xml:space="preserve">Mark Ojal and Rosebell A. </w:t>
            </w:r>
            <w:proofErr w:type="spellStart"/>
            <w:r>
              <w:rPr>
                <w:rFonts w:ascii="Arial" w:eastAsia="Arial" w:hAnsi="Arial" w:cs="Arial"/>
                <w:sz w:val="22"/>
                <w:szCs w:val="22"/>
              </w:rPr>
              <w:t>Osoo</w:t>
            </w:r>
            <w:proofErr w:type="spellEnd"/>
          </w:p>
          <w:p w14:paraId="14A59EFA" w14:textId="77777777" w:rsidR="00162BB9" w:rsidRDefault="00655E74">
            <w:pPr>
              <w:spacing w:after="200"/>
              <w:jc w:val="both"/>
              <w:rPr>
                <w:rFonts w:ascii="Arial" w:eastAsia="Arial" w:hAnsi="Arial" w:cs="Arial"/>
                <w:b/>
                <w:sz w:val="22"/>
                <w:szCs w:val="22"/>
              </w:rPr>
            </w:pPr>
            <w:r>
              <w:rPr>
                <w:rFonts w:ascii="Arial" w:eastAsia="Arial" w:hAnsi="Arial" w:cs="Arial"/>
                <w:b/>
                <w:sz w:val="22"/>
                <w:szCs w:val="22"/>
              </w:rPr>
              <w:t>Introduction</w:t>
            </w:r>
          </w:p>
          <w:p w14:paraId="14A59EFB" w14:textId="77777777" w:rsidR="00162BB9" w:rsidRDefault="00655E74">
            <w:pPr>
              <w:spacing w:before="120" w:after="120"/>
              <w:jc w:val="both"/>
              <w:rPr>
                <w:rFonts w:ascii="Arial" w:eastAsia="Arial" w:hAnsi="Arial" w:cs="Arial"/>
                <w:sz w:val="22"/>
                <w:szCs w:val="22"/>
              </w:rPr>
            </w:pPr>
            <w:r>
              <w:rPr>
                <w:rFonts w:ascii="Arial" w:eastAsia="Arial" w:hAnsi="Arial" w:cs="Arial"/>
                <w:sz w:val="22"/>
                <w:szCs w:val="22"/>
              </w:rPr>
              <w:t>Inclusive urban development decision-making provides scope for reducing disaster risks in cities and towns and unlocking transformation at scale.  In Nairobi, this opportunity window is constrained by complex governance arrangements at the city level to plan and manage rapid urban growth and reduce risks.</w:t>
            </w:r>
          </w:p>
          <w:p w14:paraId="14A59EFC" w14:textId="77777777" w:rsidR="00162BB9" w:rsidRDefault="00655E74">
            <w:pPr>
              <w:spacing w:after="200"/>
              <w:jc w:val="both"/>
              <w:rPr>
                <w:rFonts w:ascii="Arial" w:eastAsia="Arial" w:hAnsi="Arial" w:cs="Arial"/>
                <w:b/>
                <w:sz w:val="22"/>
                <w:szCs w:val="22"/>
              </w:rPr>
            </w:pPr>
            <w:r>
              <w:rPr>
                <w:rFonts w:ascii="Arial" w:eastAsia="Arial" w:hAnsi="Arial" w:cs="Arial"/>
                <w:b/>
                <w:sz w:val="22"/>
                <w:szCs w:val="22"/>
              </w:rPr>
              <w:t>Objectives</w:t>
            </w:r>
          </w:p>
          <w:p w14:paraId="14A59EFD" w14:textId="77777777" w:rsidR="00162BB9" w:rsidRDefault="00655E74">
            <w:pPr>
              <w:spacing w:before="120" w:after="120"/>
              <w:jc w:val="both"/>
              <w:rPr>
                <w:rFonts w:ascii="Arial" w:eastAsia="Arial" w:hAnsi="Arial" w:cs="Arial"/>
                <w:sz w:val="22"/>
                <w:szCs w:val="22"/>
              </w:rPr>
            </w:pPr>
            <w:r>
              <w:rPr>
                <w:rFonts w:ascii="Arial" w:eastAsia="Arial" w:hAnsi="Arial" w:cs="Arial"/>
                <w:color w:val="0D0D0D"/>
                <w:sz w:val="22"/>
                <w:szCs w:val="22"/>
                <w:highlight w:val="white"/>
              </w:rPr>
              <w:lastRenderedPageBreak/>
              <w:t xml:space="preserve">Focused on the </w:t>
            </w:r>
            <w:proofErr w:type="spellStart"/>
            <w:r>
              <w:rPr>
                <w:rFonts w:ascii="Arial" w:eastAsia="Arial" w:hAnsi="Arial" w:cs="Arial"/>
                <w:color w:val="0D0D0D"/>
                <w:sz w:val="22"/>
                <w:szCs w:val="22"/>
                <w:highlight w:val="white"/>
              </w:rPr>
              <w:t>Mukuru</w:t>
            </w:r>
            <w:proofErr w:type="spellEnd"/>
            <w:r>
              <w:rPr>
                <w:rFonts w:ascii="Arial" w:eastAsia="Arial" w:hAnsi="Arial" w:cs="Arial"/>
                <w:color w:val="0D0D0D"/>
                <w:sz w:val="22"/>
                <w:szCs w:val="22"/>
                <w:highlight w:val="white"/>
              </w:rPr>
              <w:t xml:space="preserve"> Special Planning Area (SPA), a participatory urban upgrading initiative in Nairobi as a locus of everyday planning and decision-making, the paper explores transformative characteristics in the project, and whether the project is transformative as claimed</w:t>
            </w:r>
            <w:r>
              <w:rPr>
                <w:rFonts w:ascii="Arial" w:eastAsia="Arial" w:hAnsi="Arial" w:cs="Arial"/>
                <w:sz w:val="22"/>
                <w:szCs w:val="22"/>
              </w:rPr>
              <w:t>.</w:t>
            </w:r>
          </w:p>
          <w:p w14:paraId="14A59EFE" w14:textId="77777777" w:rsidR="00162BB9" w:rsidRDefault="00655E74">
            <w:pPr>
              <w:spacing w:before="120" w:after="120"/>
              <w:jc w:val="both"/>
              <w:rPr>
                <w:rFonts w:ascii="Arial" w:eastAsia="Arial" w:hAnsi="Arial" w:cs="Arial"/>
                <w:b/>
                <w:sz w:val="22"/>
                <w:szCs w:val="22"/>
              </w:rPr>
            </w:pPr>
            <w:r>
              <w:rPr>
                <w:rFonts w:ascii="Arial" w:eastAsia="Arial" w:hAnsi="Arial" w:cs="Arial"/>
                <w:b/>
                <w:sz w:val="22"/>
                <w:szCs w:val="22"/>
              </w:rPr>
              <w:t>Methodology</w:t>
            </w:r>
          </w:p>
          <w:p w14:paraId="14A59EFF" w14:textId="77777777" w:rsidR="00162BB9" w:rsidRDefault="00655E74">
            <w:pPr>
              <w:spacing w:before="120" w:after="120"/>
              <w:jc w:val="both"/>
              <w:rPr>
                <w:rFonts w:ascii="Arial" w:eastAsia="Arial" w:hAnsi="Arial" w:cs="Arial"/>
                <w:sz w:val="22"/>
                <w:szCs w:val="22"/>
                <w:highlight w:val="white"/>
              </w:rPr>
            </w:pPr>
            <w:r>
              <w:rPr>
                <w:rFonts w:ascii="Arial" w:eastAsia="Arial" w:hAnsi="Arial" w:cs="Arial"/>
                <w:sz w:val="22"/>
                <w:szCs w:val="22"/>
                <w:highlight w:val="white"/>
              </w:rPr>
              <w:t>The paper</w:t>
            </w:r>
            <w:r>
              <w:rPr>
                <w:rFonts w:ascii="Arial" w:eastAsia="Arial" w:hAnsi="Arial" w:cs="Arial"/>
                <w:color w:val="0D0D0D"/>
                <w:sz w:val="22"/>
                <w:szCs w:val="22"/>
                <w:highlight w:val="white"/>
              </w:rPr>
              <w:t xml:space="preserve"> draws on the perspectives and experiences of community-based actors engaged in the SPA process. </w:t>
            </w:r>
            <w:r>
              <w:rPr>
                <w:rFonts w:ascii="Arial" w:eastAsia="Arial" w:hAnsi="Arial" w:cs="Arial"/>
                <w:sz w:val="22"/>
                <w:szCs w:val="22"/>
                <w:highlight w:val="white"/>
              </w:rPr>
              <w:t xml:space="preserve">Two types of key informants were identified and interviewed, numbering 12 in total. The first category was individuals living and working in the three settlements that constitute the </w:t>
            </w:r>
            <w:proofErr w:type="spellStart"/>
            <w:r>
              <w:rPr>
                <w:rFonts w:ascii="Arial" w:eastAsia="Arial" w:hAnsi="Arial" w:cs="Arial"/>
                <w:sz w:val="22"/>
                <w:szCs w:val="22"/>
                <w:highlight w:val="white"/>
              </w:rPr>
              <w:t>Mukuru</w:t>
            </w:r>
            <w:proofErr w:type="spellEnd"/>
            <w:r>
              <w:rPr>
                <w:rFonts w:ascii="Arial" w:eastAsia="Arial" w:hAnsi="Arial" w:cs="Arial"/>
                <w:sz w:val="22"/>
                <w:szCs w:val="22"/>
                <w:highlight w:val="white"/>
              </w:rPr>
              <w:t xml:space="preserve"> SPA. The second category was individuals who had in-depth knowledge of the </w:t>
            </w:r>
            <w:proofErr w:type="spellStart"/>
            <w:r>
              <w:rPr>
                <w:rFonts w:ascii="Arial" w:eastAsia="Arial" w:hAnsi="Arial" w:cs="Arial"/>
                <w:sz w:val="22"/>
                <w:szCs w:val="22"/>
                <w:highlight w:val="white"/>
              </w:rPr>
              <w:t>Mukuru</w:t>
            </w:r>
            <w:proofErr w:type="spellEnd"/>
            <w:r>
              <w:rPr>
                <w:rFonts w:ascii="Arial" w:eastAsia="Arial" w:hAnsi="Arial" w:cs="Arial"/>
                <w:sz w:val="22"/>
                <w:szCs w:val="22"/>
                <w:highlight w:val="white"/>
              </w:rPr>
              <w:t xml:space="preserve"> SPA process and had insider-outsider viewpoints</w:t>
            </w:r>
            <w:r>
              <w:rPr>
                <w:rFonts w:ascii="Arial" w:eastAsia="Arial" w:hAnsi="Arial" w:cs="Arial"/>
                <w:sz w:val="22"/>
                <w:szCs w:val="22"/>
              </w:rPr>
              <w:t xml:space="preserve">. </w:t>
            </w:r>
            <w:r>
              <w:rPr>
                <w:rFonts w:ascii="Arial" w:eastAsia="Arial" w:hAnsi="Arial" w:cs="Arial"/>
                <w:color w:val="0D0D0D"/>
                <w:sz w:val="22"/>
                <w:szCs w:val="22"/>
                <w:highlight w:val="white"/>
              </w:rPr>
              <w:t xml:space="preserve">The analysis was based on the public </w:t>
            </w:r>
            <w:r>
              <w:rPr>
                <w:rFonts w:ascii="Arial" w:eastAsia="Arial" w:hAnsi="Arial" w:cs="Arial"/>
                <w:sz w:val="22"/>
                <w:szCs w:val="22"/>
                <w:highlight w:val="white"/>
              </w:rPr>
              <w:t xml:space="preserve">sector adaptation lifecycle, framework adapted from </w:t>
            </w:r>
            <w:proofErr w:type="spellStart"/>
            <w:r>
              <w:rPr>
                <w:rFonts w:ascii="Arial" w:eastAsia="Arial" w:hAnsi="Arial" w:cs="Arial"/>
                <w:sz w:val="22"/>
                <w:szCs w:val="22"/>
                <w:highlight w:val="white"/>
              </w:rPr>
              <w:t>Scolo</w:t>
            </w:r>
            <w:r>
              <w:rPr>
                <w:rFonts w:ascii="Arial" w:eastAsia="Arial" w:hAnsi="Arial" w:cs="Arial"/>
                <w:sz w:val="22"/>
                <w:szCs w:val="22"/>
                <w:highlight w:val="white"/>
              </w:rPr>
              <w:t>big</w:t>
            </w:r>
            <w:proofErr w:type="spellEnd"/>
            <w:r>
              <w:rPr>
                <w:rFonts w:ascii="Arial" w:eastAsia="Arial" w:hAnsi="Arial" w:cs="Arial"/>
                <w:sz w:val="22"/>
                <w:szCs w:val="22"/>
                <w:highlight w:val="white"/>
              </w:rPr>
              <w:t xml:space="preserve"> </w:t>
            </w:r>
            <w:r>
              <w:rPr>
                <w:rFonts w:ascii="Arial" w:eastAsia="Arial" w:hAnsi="Arial" w:cs="Arial"/>
                <w:i/>
                <w:sz w:val="22"/>
                <w:szCs w:val="22"/>
                <w:highlight w:val="white"/>
              </w:rPr>
              <w:t>et al.,</w:t>
            </w:r>
            <w:r>
              <w:rPr>
                <w:rFonts w:ascii="Arial" w:eastAsia="Arial" w:hAnsi="Arial" w:cs="Arial"/>
                <w:sz w:val="22"/>
                <w:szCs w:val="22"/>
                <w:highlight w:val="white"/>
              </w:rPr>
              <w:t xml:space="preserve"> (2023) and tailored to the study.</w:t>
            </w:r>
          </w:p>
          <w:p w14:paraId="14A59F00" w14:textId="77777777" w:rsidR="00162BB9" w:rsidRDefault="00655E74">
            <w:pPr>
              <w:spacing w:before="120" w:after="120"/>
              <w:jc w:val="both"/>
              <w:rPr>
                <w:rFonts w:ascii="Arial" w:eastAsia="Arial" w:hAnsi="Arial" w:cs="Arial"/>
                <w:b/>
                <w:sz w:val="22"/>
                <w:szCs w:val="22"/>
              </w:rPr>
            </w:pPr>
            <w:r>
              <w:rPr>
                <w:rFonts w:ascii="Arial" w:eastAsia="Arial" w:hAnsi="Arial" w:cs="Arial"/>
                <w:b/>
                <w:sz w:val="22"/>
                <w:szCs w:val="22"/>
              </w:rPr>
              <w:t>Findings</w:t>
            </w:r>
          </w:p>
          <w:p w14:paraId="14A59F01" w14:textId="77777777" w:rsidR="00162BB9" w:rsidRDefault="00655E74">
            <w:pPr>
              <w:spacing w:before="120" w:after="120"/>
              <w:jc w:val="both"/>
              <w:rPr>
                <w:rFonts w:ascii="Arial" w:eastAsia="Arial" w:hAnsi="Arial" w:cs="Arial"/>
                <w:color w:val="0D0D0D"/>
                <w:sz w:val="22"/>
                <w:szCs w:val="22"/>
                <w:highlight w:val="white"/>
              </w:rPr>
            </w:pPr>
            <w:r>
              <w:rPr>
                <w:rFonts w:ascii="Arial" w:eastAsia="Arial" w:hAnsi="Arial" w:cs="Arial"/>
                <w:color w:val="0D0D0D"/>
                <w:sz w:val="22"/>
                <w:szCs w:val="22"/>
                <w:highlight w:val="white"/>
              </w:rPr>
              <w:t xml:space="preserve">Findings highlight the agency of the </w:t>
            </w:r>
            <w:proofErr w:type="spellStart"/>
            <w:r>
              <w:rPr>
                <w:rFonts w:ascii="Arial" w:eastAsia="Arial" w:hAnsi="Arial" w:cs="Arial"/>
                <w:color w:val="0D0D0D"/>
                <w:sz w:val="22"/>
                <w:szCs w:val="22"/>
                <w:highlight w:val="white"/>
              </w:rPr>
              <w:t>Mukuru</w:t>
            </w:r>
            <w:proofErr w:type="spellEnd"/>
            <w:r>
              <w:rPr>
                <w:rFonts w:ascii="Arial" w:eastAsia="Arial" w:hAnsi="Arial" w:cs="Arial"/>
                <w:color w:val="0D0D0D"/>
                <w:sz w:val="22"/>
                <w:szCs w:val="22"/>
                <w:highlight w:val="white"/>
              </w:rPr>
              <w:t xml:space="preserve"> community in co-creating shared learning systems, generating ideas, and envisioning urban futures collaboratively. They show how the vision and planning of </w:t>
            </w:r>
            <w:proofErr w:type="spellStart"/>
            <w:r>
              <w:rPr>
                <w:rFonts w:ascii="Arial" w:eastAsia="Arial" w:hAnsi="Arial" w:cs="Arial"/>
                <w:color w:val="0D0D0D"/>
                <w:sz w:val="22"/>
                <w:szCs w:val="22"/>
                <w:highlight w:val="white"/>
              </w:rPr>
              <w:t>Mukuru</w:t>
            </w:r>
            <w:proofErr w:type="spellEnd"/>
            <w:r>
              <w:rPr>
                <w:rFonts w:ascii="Arial" w:eastAsia="Arial" w:hAnsi="Arial" w:cs="Arial"/>
                <w:color w:val="0D0D0D"/>
                <w:sz w:val="22"/>
                <w:szCs w:val="22"/>
                <w:highlight w:val="white"/>
              </w:rPr>
              <w:t xml:space="preserve"> SPA challenge conventional practices, foster effective learning, influence institutional frameworks supporting inclusive pro-poor urban development beyond </w:t>
            </w:r>
            <w:proofErr w:type="spellStart"/>
            <w:r>
              <w:rPr>
                <w:rFonts w:ascii="Arial" w:eastAsia="Arial" w:hAnsi="Arial" w:cs="Arial"/>
                <w:color w:val="0D0D0D"/>
                <w:sz w:val="22"/>
                <w:szCs w:val="22"/>
                <w:highlight w:val="white"/>
              </w:rPr>
              <w:t>Mukuru</w:t>
            </w:r>
            <w:proofErr w:type="spellEnd"/>
            <w:r>
              <w:rPr>
                <w:rFonts w:ascii="Arial" w:eastAsia="Arial" w:hAnsi="Arial" w:cs="Arial"/>
                <w:color w:val="0D0D0D"/>
                <w:sz w:val="22"/>
                <w:szCs w:val="22"/>
                <w:highlight w:val="white"/>
              </w:rPr>
              <w:t>, and promote social justice for the urban poor. However, gaps in collaborative governance impede institutional transformation at scale.</w:t>
            </w:r>
          </w:p>
          <w:p w14:paraId="14A59F02" w14:textId="77777777" w:rsidR="00162BB9" w:rsidRDefault="00162BB9">
            <w:pPr>
              <w:spacing w:after="160"/>
              <w:jc w:val="both"/>
              <w:rPr>
                <w:rFonts w:ascii="Arial" w:eastAsia="Arial" w:hAnsi="Arial" w:cs="Arial"/>
                <w:b/>
                <w:sz w:val="22"/>
                <w:szCs w:val="22"/>
                <w:u w:val="single"/>
              </w:rPr>
            </w:pPr>
          </w:p>
          <w:p w14:paraId="14A59F03" w14:textId="77777777" w:rsidR="00162BB9" w:rsidRDefault="00655E74">
            <w:pPr>
              <w:spacing w:after="160"/>
              <w:jc w:val="both"/>
              <w:rPr>
                <w:rFonts w:ascii="Arial" w:eastAsia="Arial" w:hAnsi="Arial" w:cs="Arial"/>
                <w:b/>
                <w:sz w:val="22"/>
                <w:szCs w:val="22"/>
                <w:u w:val="single"/>
              </w:rPr>
            </w:pPr>
            <w:r>
              <w:rPr>
                <w:rFonts w:ascii="Arial" w:eastAsia="Arial" w:hAnsi="Arial" w:cs="Arial"/>
                <w:b/>
                <w:sz w:val="22"/>
                <w:szCs w:val="22"/>
                <w:u w:val="single"/>
              </w:rPr>
              <w:t>Panellist 5/Respondent</w:t>
            </w:r>
          </w:p>
          <w:p w14:paraId="14A59F04" w14:textId="77777777" w:rsidR="00162BB9" w:rsidRDefault="00655E74">
            <w:pPr>
              <w:jc w:val="both"/>
              <w:rPr>
                <w:rFonts w:ascii="Arial" w:eastAsia="Arial" w:hAnsi="Arial" w:cs="Arial"/>
                <w:b/>
                <w:sz w:val="22"/>
                <w:szCs w:val="22"/>
              </w:rPr>
            </w:pPr>
            <w:r>
              <w:rPr>
                <w:rFonts w:ascii="Arial" w:eastAsia="Arial" w:hAnsi="Arial" w:cs="Arial"/>
                <w:b/>
                <w:sz w:val="22"/>
                <w:szCs w:val="22"/>
              </w:rPr>
              <w:t xml:space="preserve">Full Name: </w:t>
            </w:r>
            <w:r>
              <w:rPr>
                <w:rFonts w:ascii="Arial" w:eastAsia="Arial" w:hAnsi="Arial" w:cs="Arial"/>
                <w:sz w:val="22"/>
                <w:szCs w:val="22"/>
              </w:rPr>
              <w:t xml:space="preserve">Patrick </w:t>
            </w:r>
            <w:proofErr w:type="spellStart"/>
            <w:r>
              <w:rPr>
                <w:rFonts w:ascii="Arial" w:eastAsia="Arial" w:hAnsi="Arial" w:cs="Arial"/>
                <w:sz w:val="22"/>
                <w:szCs w:val="22"/>
              </w:rPr>
              <w:t>Brandful</w:t>
            </w:r>
            <w:proofErr w:type="spellEnd"/>
            <w:r>
              <w:rPr>
                <w:rFonts w:ascii="Arial" w:eastAsia="Arial" w:hAnsi="Arial" w:cs="Arial"/>
                <w:sz w:val="22"/>
                <w:szCs w:val="22"/>
              </w:rPr>
              <w:t xml:space="preserve"> Cobbinah</w:t>
            </w:r>
          </w:p>
          <w:p w14:paraId="14A59F05" w14:textId="77777777" w:rsidR="00162BB9" w:rsidRDefault="00655E74">
            <w:pPr>
              <w:jc w:val="both"/>
              <w:rPr>
                <w:rFonts w:ascii="Arial" w:eastAsia="Arial" w:hAnsi="Arial" w:cs="Arial"/>
                <w:sz w:val="22"/>
                <w:szCs w:val="22"/>
              </w:rPr>
            </w:pPr>
            <w:r>
              <w:rPr>
                <w:rFonts w:ascii="Arial" w:eastAsia="Arial" w:hAnsi="Arial" w:cs="Arial"/>
                <w:b/>
                <w:sz w:val="22"/>
                <w:szCs w:val="22"/>
              </w:rPr>
              <w:t xml:space="preserve">Organisation: </w:t>
            </w:r>
            <w:r>
              <w:rPr>
                <w:rFonts w:ascii="Arial" w:eastAsia="Arial" w:hAnsi="Arial" w:cs="Arial"/>
                <w:sz w:val="22"/>
                <w:szCs w:val="22"/>
              </w:rPr>
              <w:t>The University of Melbourne</w:t>
            </w:r>
          </w:p>
          <w:p w14:paraId="14A59F06" w14:textId="77777777" w:rsidR="00162BB9" w:rsidRDefault="00162BB9">
            <w:pPr>
              <w:jc w:val="both"/>
              <w:rPr>
                <w:rFonts w:ascii="Arial" w:eastAsia="Arial" w:hAnsi="Arial" w:cs="Arial"/>
                <w:sz w:val="22"/>
                <w:szCs w:val="22"/>
              </w:rPr>
            </w:pPr>
          </w:p>
          <w:p w14:paraId="14A59F07" w14:textId="104840EB" w:rsidR="00162BB9" w:rsidRDefault="00655E74">
            <w:pPr>
              <w:jc w:val="both"/>
              <w:rPr>
                <w:rFonts w:ascii="Arial" w:eastAsia="Arial" w:hAnsi="Arial" w:cs="Arial"/>
                <w:b/>
                <w:sz w:val="22"/>
                <w:szCs w:val="22"/>
              </w:rPr>
            </w:pPr>
            <w:r>
              <w:rPr>
                <w:rFonts w:ascii="Arial" w:eastAsia="Arial" w:hAnsi="Arial" w:cs="Arial"/>
                <w:b/>
                <w:sz w:val="22"/>
                <w:szCs w:val="22"/>
              </w:rPr>
              <w:t>Bio:</w:t>
            </w:r>
          </w:p>
          <w:p w14:paraId="14A59F08" w14:textId="77777777" w:rsidR="00162BB9" w:rsidRDefault="00655E74">
            <w:pPr>
              <w:spacing w:after="160"/>
              <w:ind w:right="600"/>
              <w:jc w:val="both"/>
              <w:rPr>
                <w:rFonts w:ascii="Arial" w:eastAsia="Arial" w:hAnsi="Arial" w:cs="Arial"/>
                <w:sz w:val="22"/>
                <w:szCs w:val="22"/>
              </w:rPr>
            </w:pPr>
            <w:r>
              <w:rPr>
                <w:rFonts w:ascii="Arial" w:eastAsia="Arial" w:hAnsi="Arial" w:cs="Arial"/>
                <w:sz w:val="22"/>
                <w:szCs w:val="22"/>
              </w:rPr>
              <w:t xml:space="preserve">Patrick is an associate professor of urban planning and Co-Director of the Informal Urbanism Hub at the University of Melbourne. He is a leading academic commentator on urban planning in Africa whose </w:t>
            </w:r>
            <w:proofErr w:type="gramStart"/>
            <w:r>
              <w:rPr>
                <w:rFonts w:ascii="Arial" w:eastAsia="Arial" w:hAnsi="Arial" w:cs="Arial"/>
                <w:sz w:val="22"/>
                <w:szCs w:val="22"/>
              </w:rPr>
              <w:t>research  continues</w:t>
            </w:r>
            <w:proofErr w:type="gramEnd"/>
            <w:r>
              <w:rPr>
                <w:rFonts w:ascii="Arial" w:eastAsia="Arial" w:hAnsi="Arial" w:cs="Arial"/>
                <w:sz w:val="22"/>
                <w:szCs w:val="22"/>
              </w:rPr>
              <w:t xml:space="preserve"> to unsettle and challenge the existing geo-politics of knowledge production in planning and climate management by providing a deeper understanding and enriching Africa-focused theorization.</w:t>
            </w:r>
          </w:p>
          <w:p w14:paraId="14A59F0E" w14:textId="77777777" w:rsidR="00162BB9" w:rsidRDefault="00162BB9">
            <w:pPr>
              <w:jc w:val="both"/>
              <w:rPr>
                <w:rFonts w:ascii="Arial" w:eastAsia="Arial" w:hAnsi="Arial" w:cs="Arial"/>
                <w:b/>
                <w:sz w:val="22"/>
                <w:szCs w:val="22"/>
              </w:rPr>
            </w:pPr>
          </w:p>
          <w:p w14:paraId="14A59F0F" w14:textId="77777777" w:rsidR="00162BB9" w:rsidRDefault="00162BB9">
            <w:pPr>
              <w:jc w:val="both"/>
              <w:rPr>
                <w:rFonts w:ascii="Arial" w:eastAsia="Arial" w:hAnsi="Arial" w:cs="Arial"/>
                <w:b/>
                <w:sz w:val="22"/>
                <w:szCs w:val="22"/>
              </w:rPr>
            </w:pPr>
          </w:p>
        </w:tc>
      </w:tr>
    </w:tbl>
    <w:p w14:paraId="14A59F11" w14:textId="77777777" w:rsidR="00162BB9" w:rsidRDefault="00162BB9">
      <w:pPr>
        <w:rPr>
          <w:rFonts w:ascii="Arial" w:eastAsia="Arial" w:hAnsi="Arial" w:cs="Arial"/>
          <w:sz w:val="22"/>
          <w:szCs w:val="22"/>
        </w:rPr>
      </w:pPr>
    </w:p>
    <w:sectPr w:rsidR="00162BB9">
      <w:pgSz w:w="12240" w:h="15840"/>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C4DFF761-4C71-4825-AA7B-D2BCE00B586F}"/>
  </w:font>
  <w:font w:name="Calibri">
    <w:panose1 w:val="020F0502020204030204"/>
    <w:charset w:val="00"/>
    <w:family w:val="swiss"/>
    <w:pitch w:val="variable"/>
    <w:sig w:usb0="E4002EFF" w:usb1="C200247B" w:usb2="00000009" w:usb3="00000000" w:csb0="000001FF" w:csb1="00000000"/>
    <w:embedRegular r:id="rId2" w:fontKey="{0B6C0EB3-8AFF-4841-9FE6-66D101355632}"/>
    <w:embedBold r:id="rId3" w:fontKey="{375621A5-BBFE-4D3F-AF1E-800C446E9E8D}"/>
  </w:font>
  <w:font w:name="Segoe UI">
    <w:panose1 w:val="020B0502040204020203"/>
    <w:charset w:val="00"/>
    <w:family w:val="roman"/>
    <w:notTrueType/>
    <w:pitch w:val="default"/>
    <w:embedRegular r:id="rId4" w:fontKey="{5FF817AA-33C4-4360-BA2E-2A5EECEB0EBB}"/>
  </w:font>
  <w:font w:name="Georgia">
    <w:panose1 w:val="02040502050405020303"/>
    <w:charset w:val="00"/>
    <w:family w:val="auto"/>
    <w:pitch w:val="default"/>
    <w:embedRegular r:id="rId5" w:fontKey="{B3D20479-8CCE-4E2A-B258-3E4AC21BF7A2}"/>
    <w:embedItalic r:id="rId6" w:fontKey="{CEE344AB-73EA-432B-BF53-FEF8E72AFD36}"/>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7" w:fontKey="{0807CAB4-179C-43AF-9887-EDA47DCE9EA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8F254F"/>
    <w:multiLevelType w:val="multilevel"/>
    <w:tmpl w:val="E94A58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0C23646"/>
    <w:multiLevelType w:val="multilevel"/>
    <w:tmpl w:val="E542A870"/>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60EA2E90"/>
    <w:multiLevelType w:val="multilevel"/>
    <w:tmpl w:val="18143C7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118940436">
    <w:abstractNumId w:val="1"/>
  </w:num>
  <w:num w:numId="2" w16cid:durableId="870799804">
    <w:abstractNumId w:val="2"/>
  </w:num>
  <w:num w:numId="3" w16cid:durableId="3575106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2BB9"/>
    <w:rsid w:val="00162BB9"/>
    <w:rsid w:val="00186936"/>
    <w:rsid w:val="00655E74"/>
    <w:rsid w:val="00F57C14"/>
    <w:rsid w:val="00FC3B2B"/>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A59E9D"/>
  <w15:docId w15:val="{EE3F9831-3993-414D-8812-2625B2123C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CA" w:eastAsia="en-N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4A81"/>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customStyle="1" w:styleId="Tablestyle1">
    <w:name w:val="Table style1"/>
    <w:basedOn w:val="TableNormal"/>
    <w:uiPriority w:val="99"/>
    <w:rsid w:val="008235E8"/>
    <w:rPr>
      <w:sz w:val="20"/>
      <w:szCs w:val="20"/>
    </w:rPr>
    <w:tblPr/>
  </w:style>
  <w:style w:type="table" w:styleId="TableGrid">
    <w:name w:val="Table Grid"/>
    <w:basedOn w:val="TableNormal"/>
    <w:rsid w:val="00C8423A"/>
    <w:rPr>
      <w:rFonts w:ascii="Times New Roman" w:eastAsia="Times New Roman" w:hAnsi="Times New Roman" w:cs="Times New Roman"/>
      <w:sz w:val="20"/>
      <w:szCs w:val="20"/>
      <w:lang w:val="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47C6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7C60"/>
    <w:rPr>
      <w:rFonts w:ascii="Segoe UI" w:hAnsi="Segoe UI" w:cs="Segoe UI"/>
      <w:sz w:val="18"/>
      <w:szCs w:val="18"/>
    </w:rPr>
  </w:style>
  <w:style w:type="character" w:styleId="CommentReference">
    <w:name w:val="annotation reference"/>
    <w:basedOn w:val="DefaultParagraphFont"/>
    <w:uiPriority w:val="99"/>
    <w:semiHidden/>
    <w:unhideWhenUsed/>
    <w:rsid w:val="0068043B"/>
    <w:rPr>
      <w:sz w:val="16"/>
      <w:szCs w:val="16"/>
    </w:rPr>
  </w:style>
  <w:style w:type="paragraph" w:styleId="CommentText">
    <w:name w:val="annotation text"/>
    <w:basedOn w:val="Normal"/>
    <w:link w:val="CommentTextChar"/>
    <w:uiPriority w:val="99"/>
    <w:semiHidden/>
    <w:unhideWhenUsed/>
    <w:rsid w:val="0068043B"/>
    <w:rPr>
      <w:sz w:val="20"/>
      <w:szCs w:val="20"/>
    </w:rPr>
  </w:style>
  <w:style w:type="character" w:customStyle="1" w:styleId="CommentTextChar">
    <w:name w:val="Comment Text Char"/>
    <w:basedOn w:val="DefaultParagraphFont"/>
    <w:link w:val="CommentText"/>
    <w:uiPriority w:val="99"/>
    <w:semiHidden/>
    <w:rsid w:val="0068043B"/>
    <w:rPr>
      <w:sz w:val="20"/>
      <w:szCs w:val="20"/>
    </w:rPr>
  </w:style>
  <w:style w:type="paragraph" w:styleId="CommentSubject">
    <w:name w:val="annotation subject"/>
    <w:basedOn w:val="CommentText"/>
    <w:next w:val="CommentText"/>
    <w:link w:val="CommentSubjectChar"/>
    <w:uiPriority w:val="99"/>
    <w:semiHidden/>
    <w:unhideWhenUsed/>
    <w:rsid w:val="0068043B"/>
    <w:rPr>
      <w:b/>
      <w:bCs/>
    </w:rPr>
  </w:style>
  <w:style w:type="character" w:customStyle="1" w:styleId="CommentSubjectChar">
    <w:name w:val="Comment Subject Char"/>
    <w:basedOn w:val="CommentTextChar"/>
    <w:link w:val="CommentSubject"/>
    <w:uiPriority w:val="99"/>
    <w:semiHidden/>
    <w:rsid w:val="0068043B"/>
    <w:rPr>
      <w:b/>
      <w:bCs/>
      <w:sz w:val="20"/>
      <w:szCs w:val="20"/>
    </w:rPr>
  </w:style>
  <w:style w:type="paragraph" w:styleId="Revision">
    <w:name w:val="Revision"/>
    <w:hidden/>
    <w:uiPriority w:val="99"/>
    <w:semiHidden/>
    <w:rsid w:val="00906B39"/>
  </w:style>
  <w:style w:type="paragraph" w:styleId="ListParagraph">
    <w:name w:val="List Paragraph"/>
    <w:basedOn w:val="Normal"/>
    <w:uiPriority w:val="34"/>
    <w:qFormat/>
    <w:rsid w:val="00105E39"/>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rFonts w:ascii="Times New Roman" w:eastAsia="Times New Roman" w:hAnsi="Times New Roman" w:cs="Times New Roman"/>
      <w:sz w:val="20"/>
      <w:szCs w:val="20"/>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hyperlink" Target="https://www.unza.zm/schools/natural-sciences/departments/geography" TargetMode="External"/><Relationship Id="rId4" Type="http://schemas.openxmlformats.org/officeDocument/2006/relationships/customXml" Target="../customXml/item4.xml"/><Relationship Id="rId9" Type="http://schemas.openxmlformats.org/officeDocument/2006/relationships/hyperlink" Target="https://www.unza.zm/schools/natural-sciences/departments/geography"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4DB0B76CE105D459F58063C0D0B3831" ma:contentTypeVersion="19" ma:contentTypeDescription="Create a new document." ma:contentTypeScope="" ma:versionID="81b82bb6f7620ebbb39a1d5beea1b5ba">
  <xsd:schema xmlns:xsd="http://www.w3.org/2001/XMLSchema" xmlns:xs="http://www.w3.org/2001/XMLSchema" xmlns:p="http://schemas.microsoft.com/office/2006/metadata/properties" xmlns:ns2="6911e96c-4cc4-42d5-8e43-f93924cf6a05" xmlns:ns3="9c8a2b7b-0bee-4c48-b0a6-23db8982d3bc" xmlns:ns4="cab52c9b-ab33-4221-8af9-54f8f2b86a80" targetNamespace="http://schemas.microsoft.com/office/2006/metadata/properties" ma:root="true" ma:fieldsID="f773b1fbeea36af71dfed63160eca7a6" ns2:_="" ns3:_="" ns4:_="">
    <xsd:import namespace="6911e96c-4cc4-42d5-8e43-f93924cf6a05"/>
    <xsd:import namespace="9c8a2b7b-0bee-4c48-b0a6-23db8982d3bc"/>
    <xsd:import namespace="cab52c9b-ab33-4221-8af9-54f8f2b86a8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EventHashCode" minOccurs="0"/>
                <xsd:element ref="ns2:MediaServiceGenerationTime" minOccurs="0"/>
                <xsd:element ref="ns2:MediaServiceAutoKeyPoints" minOccurs="0"/>
                <xsd:element ref="ns2:MediaServiceKeyPoints"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911e96c-4cc4-42d5-8e43-f93924cf6a0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f635817-86d4-483c-865d-47556d3f42d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8a2b7b-0bee-4c48-b0a6-23db8982d3bc"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ab52c9b-ab33-4221-8af9-54f8f2b86a80"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1b321a2a-d050-4ca1-b64d-75ec18c39cb6}" ma:internalName="TaxCatchAll" ma:showField="CatchAllData" ma:web="cab52c9b-ab33-4221-8af9-54f8f2b86a8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6bnbCEYyMTuAhvVXrfKVd+MvYGQ==">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</go:docsCustomData>
</go:gDocsCustomXmlDataStorage>
</file>

<file path=customXml/item3.xml><?xml version="1.0" encoding="utf-8"?>
<p:properties xmlns:p="http://schemas.microsoft.com/office/2006/metadata/properties" xmlns:xsi="http://www.w3.org/2001/XMLSchema-instance" xmlns:pc="http://schemas.microsoft.com/office/infopath/2007/PartnerControls">
  <documentManagement>
    <TaxCatchAll xmlns="cab52c9b-ab33-4221-8af9-54f8f2b86a80" xsi:nil="true"/>
    <lcf76f155ced4ddcb4097134ff3c332f xmlns="6911e96c-4cc4-42d5-8e43-f93924cf6a05">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1E36D73-04A8-41C8-AF95-024A58EF76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911e96c-4cc4-42d5-8e43-f93924cf6a05"/>
    <ds:schemaRef ds:uri="9c8a2b7b-0bee-4c48-b0a6-23db8982d3bc"/>
    <ds:schemaRef ds:uri="cab52c9b-ab33-4221-8af9-54f8f2b86a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3.xml><?xml version="1.0" encoding="utf-8"?>
<ds:datastoreItem xmlns:ds="http://schemas.openxmlformats.org/officeDocument/2006/customXml" ds:itemID="{67652C24-7C0E-46F2-A97E-9FD0F938E783}">
  <ds:schemaRefs>
    <ds:schemaRef ds:uri="http://schemas.microsoft.com/office/2006/documentManagement/types"/>
    <ds:schemaRef ds:uri="http://www.w3.org/XML/1998/namespace"/>
    <ds:schemaRef ds:uri="cab52c9b-ab33-4221-8af9-54f8f2b86a80"/>
    <ds:schemaRef ds:uri="http://schemas.openxmlformats.org/package/2006/metadata/core-properties"/>
    <ds:schemaRef ds:uri="http://purl.org/dc/terms/"/>
    <ds:schemaRef ds:uri="http://purl.org/dc/dcmitype/"/>
    <ds:schemaRef ds:uri="9c8a2b7b-0bee-4c48-b0a6-23db8982d3bc"/>
    <ds:schemaRef ds:uri="http://purl.org/dc/elements/1.1/"/>
    <ds:schemaRef ds:uri="http://schemas.microsoft.com/office/infopath/2007/PartnerControls"/>
    <ds:schemaRef ds:uri="6911e96c-4cc4-42d5-8e43-f93924cf6a05"/>
    <ds:schemaRef ds:uri="http://schemas.microsoft.com/office/2006/metadata/properties"/>
  </ds:schemaRefs>
</ds:datastoreItem>
</file>

<file path=customXml/itemProps4.xml><?xml version="1.0" encoding="utf-8"?>
<ds:datastoreItem xmlns:ds="http://schemas.openxmlformats.org/officeDocument/2006/customXml" ds:itemID="{9BC20B4D-79D0-469E-B01F-285ECEC6F19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Pages>
  <Words>2374</Words>
  <Characters>13537</Characters>
  <Application>Microsoft Office Word</Application>
  <DocSecurity>0</DocSecurity>
  <Lines>112</Lines>
  <Paragraphs>31</Paragraphs>
  <ScaleCrop>false</ScaleCrop>
  <Company/>
  <LinksUpToDate>false</LinksUpToDate>
  <CharactersWithSpaces>15880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Ying Syuan Huang, Dr</dc:creator>
  <cp:lastModifiedBy>Bethany Yee</cp:lastModifiedBy>
  <cp:revision>4</cp:revision>
  <dcterms:created xsi:type="dcterms:W3CDTF">2025-02-18T08:17:00Z</dcterms:created>
  <dcterms:modified xsi:type="dcterms:W3CDTF">2025-08-12T23:27:00Z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0x01010004DB0B76CE105D459F58063C0D0B3831</vt:lpwstr>
  </property>
  <property fmtid="{D5CDD505-2E9C-101B-9397-08002B2CF9AE}" pid="3" name="MediaServiceImageTags">
    <vt:lpwstr/>
  </property>
</Properties>
</file>