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087496">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3A0041B8" w14:textId="30EB3CDF" w:rsidR="00D60AD0" w:rsidRPr="00D60AD0" w:rsidRDefault="00D60AD0" w:rsidP="00087496">
            <w:pPr>
              <w:tabs>
                <w:tab w:val="left" w:pos="3386"/>
              </w:tabs>
              <w:rPr>
                <w:rFonts w:ascii="Arial" w:hAnsi="Arial" w:cs="Arial"/>
                <w:bCs/>
                <w:i/>
                <w:iCs/>
                <w:sz w:val="22"/>
                <w:szCs w:val="22"/>
              </w:rPr>
            </w:pPr>
            <w:r w:rsidRPr="00D60AD0">
              <w:rPr>
                <w:rFonts w:ascii="Arial" w:hAnsi="Arial" w:cs="Arial"/>
                <w:bCs/>
                <w:i/>
                <w:iCs/>
                <w:sz w:val="22"/>
                <w:szCs w:val="22"/>
              </w:rPr>
              <w:t>Paper</w:t>
            </w:r>
          </w:p>
          <w:p w14:paraId="4634BE79" w14:textId="7CC20329" w:rsidR="00087496" w:rsidRDefault="00087496" w:rsidP="00087496">
            <w:pPr>
              <w:tabs>
                <w:tab w:val="left" w:pos="3386"/>
              </w:tabs>
              <w:rPr>
                <w:rFonts w:ascii="Arial" w:hAnsi="Arial" w:cs="Arial"/>
                <w:b/>
                <w:sz w:val="22"/>
                <w:szCs w:val="22"/>
              </w:rPr>
            </w:pPr>
            <w:r w:rsidRPr="00087496">
              <w:rPr>
                <w:rFonts w:ascii="Arial" w:hAnsi="Arial" w:cs="Arial"/>
                <w:b/>
                <w:sz w:val="22"/>
                <w:szCs w:val="22"/>
              </w:rPr>
              <w:t xml:space="preserve">Expansion of cropland area in a nuclear winter scenario with loss of industry </w:t>
            </w:r>
          </w:p>
          <w:p w14:paraId="60F8F9CC" w14:textId="77777777" w:rsidR="00087496" w:rsidRDefault="00087496" w:rsidP="00087496">
            <w:pPr>
              <w:tabs>
                <w:tab w:val="left" w:pos="3386"/>
              </w:tabs>
              <w:rPr>
                <w:rFonts w:ascii="Arial" w:hAnsi="Arial" w:cs="Arial"/>
                <w:b/>
                <w:sz w:val="22"/>
                <w:szCs w:val="22"/>
              </w:rPr>
            </w:pPr>
          </w:p>
          <w:p w14:paraId="7FB8482B" w14:textId="77777777" w:rsidR="00087496" w:rsidRDefault="00087496" w:rsidP="00087496">
            <w:pPr>
              <w:tabs>
                <w:tab w:val="left" w:pos="3386"/>
              </w:tabs>
              <w:rPr>
                <w:rFonts w:ascii="Arial" w:hAnsi="Arial" w:cs="Arial"/>
                <w:bCs/>
                <w:sz w:val="22"/>
                <w:szCs w:val="22"/>
                <w:vertAlign w:val="superscript"/>
              </w:rPr>
            </w:pPr>
            <w:r w:rsidRPr="00087496">
              <w:rPr>
                <w:rFonts w:ascii="Arial" w:hAnsi="Arial" w:cs="Arial"/>
                <w:bCs/>
                <w:sz w:val="22"/>
                <w:szCs w:val="22"/>
              </w:rPr>
              <w:t>Luísa Lopes Monteiro</w:t>
            </w:r>
            <w:r w:rsidRPr="00087496">
              <w:rPr>
                <w:rFonts w:ascii="Arial" w:hAnsi="Arial" w:cs="Arial"/>
                <w:bCs/>
                <w:sz w:val="22"/>
                <w:szCs w:val="22"/>
                <w:vertAlign w:val="superscript"/>
              </w:rPr>
              <w:t>1,2</w:t>
            </w:r>
            <w:r w:rsidRPr="00087496">
              <w:rPr>
                <w:rFonts w:ascii="Arial" w:hAnsi="Arial" w:cs="Arial"/>
                <w:bCs/>
                <w:sz w:val="22"/>
                <w:szCs w:val="22"/>
              </w:rPr>
              <w:t>, Michael Hinge</w:t>
            </w:r>
            <w:r w:rsidRPr="00087496">
              <w:rPr>
                <w:rFonts w:ascii="Arial" w:hAnsi="Arial" w:cs="Arial"/>
                <w:bCs/>
                <w:sz w:val="22"/>
                <w:szCs w:val="22"/>
                <w:vertAlign w:val="superscript"/>
              </w:rPr>
              <w:t>1</w:t>
            </w:r>
            <w:r w:rsidRPr="00087496">
              <w:rPr>
                <w:rFonts w:ascii="Arial" w:hAnsi="Arial" w:cs="Arial"/>
                <w:bCs/>
                <w:sz w:val="22"/>
                <w:szCs w:val="22"/>
              </w:rPr>
              <w:t>, Simon Blouin</w:t>
            </w:r>
            <w:r w:rsidRPr="00087496">
              <w:rPr>
                <w:rFonts w:ascii="Arial" w:hAnsi="Arial" w:cs="Arial"/>
                <w:bCs/>
                <w:sz w:val="22"/>
                <w:szCs w:val="22"/>
                <w:vertAlign w:val="superscript"/>
              </w:rPr>
              <w:t>1</w:t>
            </w:r>
            <w:r w:rsidRPr="00087496">
              <w:rPr>
                <w:rFonts w:ascii="Arial" w:hAnsi="Arial" w:cs="Arial"/>
                <w:bCs/>
                <w:sz w:val="22"/>
                <w:szCs w:val="22"/>
              </w:rPr>
              <w:t xml:space="preserve"> and David Denkenberger</w:t>
            </w:r>
            <w:r w:rsidRPr="00087496">
              <w:rPr>
                <w:rFonts w:ascii="Arial" w:hAnsi="Arial" w:cs="Arial"/>
                <w:bCs/>
                <w:sz w:val="22"/>
                <w:szCs w:val="22"/>
                <w:vertAlign w:val="superscript"/>
              </w:rPr>
              <w:t>1,2</w:t>
            </w:r>
          </w:p>
          <w:p w14:paraId="5EC17D82" w14:textId="77777777" w:rsidR="00087496" w:rsidRPr="00087496" w:rsidRDefault="00087496" w:rsidP="00087496">
            <w:pPr>
              <w:tabs>
                <w:tab w:val="left" w:pos="3386"/>
              </w:tabs>
              <w:rPr>
                <w:rFonts w:ascii="Arial" w:hAnsi="Arial" w:cs="Arial"/>
                <w:bCs/>
                <w:sz w:val="22"/>
                <w:szCs w:val="22"/>
              </w:rPr>
            </w:pPr>
          </w:p>
          <w:p w14:paraId="24DD76F6" w14:textId="77777777" w:rsidR="00087496" w:rsidRPr="00087496" w:rsidRDefault="00087496" w:rsidP="00087496">
            <w:pPr>
              <w:tabs>
                <w:tab w:val="left" w:pos="3386"/>
              </w:tabs>
              <w:rPr>
                <w:rFonts w:ascii="Arial" w:hAnsi="Arial" w:cs="Arial"/>
                <w:bCs/>
                <w:sz w:val="22"/>
                <w:szCs w:val="22"/>
              </w:rPr>
            </w:pPr>
            <w:r w:rsidRPr="00087496">
              <w:rPr>
                <w:rFonts w:ascii="Arial" w:hAnsi="Arial" w:cs="Arial"/>
                <w:bCs/>
                <w:sz w:val="22"/>
                <w:szCs w:val="22"/>
                <w:vertAlign w:val="superscript"/>
              </w:rPr>
              <w:t xml:space="preserve">1 </w:t>
            </w:r>
            <w:r w:rsidRPr="00087496">
              <w:rPr>
                <w:rFonts w:ascii="Arial" w:hAnsi="Arial" w:cs="Arial"/>
                <w:bCs/>
                <w:sz w:val="22"/>
                <w:szCs w:val="22"/>
              </w:rPr>
              <w:t>Alliance to Feed the Earth in Disasters (ALLFED) Lafayette, CO 80026, USA</w:t>
            </w:r>
          </w:p>
          <w:p w14:paraId="3F7D1534" w14:textId="45107ECE" w:rsidR="00C8423A" w:rsidRPr="009C75AE" w:rsidRDefault="00087496" w:rsidP="00087496">
            <w:pPr>
              <w:tabs>
                <w:tab w:val="left" w:pos="3386"/>
              </w:tabs>
              <w:rPr>
                <w:rFonts w:ascii="Arial" w:hAnsi="Arial" w:cs="Arial"/>
                <w:b/>
                <w:bCs/>
                <w:sz w:val="22"/>
                <w:szCs w:val="22"/>
              </w:rPr>
            </w:pPr>
            <w:r w:rsidRPr="00087496">
              <w:rPr>
                <w:rFonts w:ascii="Arial" w:hAnsi="Arial" w:cs="Arial"/>
                <w:bCs/>
                <w:sz w:val="22"/>
                <w:szCs w:val="22"/>
                <w:vertAlign w:val="superscript"/>
              </w:rPr>
              <w:t xml:space="preserve">2 </w:t>
            </w:r>
            <w:r w:rsidRPr="00087496">
              <w:rPr>
                <w:rFonts w:ascii="Arial" w:hAnsi="Arial" w:cs="Arial"/>
                <w:bCs/>
                <w:sz w:val="22"/>
                <w:szCs w:val="22"/>
              </w:rPr>
              <w:t>Department of Mechanical Engineering, University of Canterbury, Private Bag 4800 Christchurch 8140, New Zealand</w:t>
            </w:r>
          </w:p>
        </w:tc>
      </w:tr>
      <w:tr w:rsidR="00C8423A" w:rsidRPr="0003525D" w14:paraId="1A1C8C63" w14:textId="77777777" w:rsidTr="009F4EA0">
        <w:trPr>
          <w:trHeight w:val="3124"/>
        </w:trPr>
        <w:tc>
          <w:tcPr>
            <w:tcW w:w="8640" w:type="dxa"/>
          </w:tcPr>
          <w:p w14:paraId="65A278DB" w14:textId="62E8A73B" w:rsidR="00C8423A" w:rsidRDefault="00C8423A" w:rsidP="00087496">
            <w:pPr>
              <w:rPr>
                <w:rFonts w:ascii="Arial" w:hAnsi="Arial" w:cs="Arial"/>
                <w:b/>
                <w:sz w:val="22"/>
                <w:szCs w:val="22"/>
              </w:rPr>
            </w:pPr>
          </w:p>
          <w:p w14:paraId="131A5F05" w14:textId="77777777" w:rsidR="0065012F" w:rsidRDefault="0065012F" w:rsidP="00087496">
            <w:pPr>
              <w:rPr>
                <w:rFonts w:ascii="Arial" w:hAnsi="Arial" w:cs="Arial"/>
                <w:b/>
                <w:sz w:val="22"/>
                <w:szCs w:val="22"/>
              </w:rPr>
            </w:pPr>
            <w:r w:rsidRPr="0065012F">
              <w:rPr>
                <w:rFonts w:ascii="Arial" w:hAnsi="Arial" w:cs="Arial"/>
                <w:b/>
                <w:sz w:val="22"/>
                <w:szCs w:val="22"/>
              </w:rPr>
              <w:t>Introduction</w:t>
            </w:r>
          </w:p>
          <w:p w14:paraId="42F63862" w14:textId="77777777" w:rsidR="00087496" w:rsidRDefault="00087496" w:rsidP="00087496">
            <w:pPr>
              <w:rPr>
                <w:rFonts w:ascii="Arial" w:hAnsi="Arial" w:cs="Arial"/>
                <w:b/>
                <w:sz w:val="22"/>
                <w:szCs w:val="22"/>
              </w:rPr>
            </w:pPr>
          </w:p>
          <w:p w14:paraId="4806BFDB" w14:textId="4F84DC22" w:rsidR="0065012F" w:rsidRDefault="00087496" w:rsidP="00087496">
            <w:pPr>
              <w:rPr>
                <w:rFonts w:ascii="Arial" w:hAnsi="Arial" w:cs="Arial"/>
                <w:bCs/>
                <w:sz w:val="22"/>
                <w:szCs w:val="22"/>
              </w:rPr>
            </w:pPr>
            <w:r w:rsidRPr="00087496">
              <w:rPr>
                <w:rFonts w:ascii="Arial" w:hAnsi="Arial" w:cs="Arial"/>
                <w:bCs/>
                <w:sz w:val="22"/>
                <w:szCs w:val="22"/>
              </w:rPr>
              <w:t>In the eventuality of a nuclear war, long-term permanence of aerosol in the stratosphere could cause a severe climate shock, causing a nuclear winter (NW) that would disrupt the food system [1]. Along with the climatic effects, the deployment of one (or several) nuclear weapons could trigger a high-altitude electromagnetic pulse (HEMP) capable of destroying the electrical grid infrastructure and electronics, disabling fossil fuel extraction and industry for a long time [2].</w:t>
            </w:r>
          </w:p>
          <w:p w14:paraId="0BF57FDF" w14:textId="77777777" w:rsidR="00087496" w:rsidRDefault="00087496" w:rsidP="00087496">
            <w:pPr>
              <w:rPr>
                <w:rFonts w:ascii="Arial" w:hAnsi="Arial" w:cs="Arial"/>
                <w:bCs/>
                <w:sz w:val="22"/>
                <w:szCs w:val="22"/>
              </w:rPr>
            </w:pPr>
          </w:p>
          <w:p w14:paraId="355CBB27" w14:textId="2FDAF51E" w:rsidR="00087496" w:rsidRPr="00087496" w:rsidRDefault="00087496" w:rsidP="00087496">
            <w:pPr>
              <w:rPr>
                <w:rFonts w:ascii="Arial" w:hAnsi="Arial" w:cs="Arial"/>
                <w:bCs/>
                <w:sz w:val="22"/>
                <w:szCs w:val="22"/>
              </w:rPr>
            </w:pPr>
            <w:r w:rsidRPr="00087496">
              <w:rPr>
                <w:rFonts w:ascii="Arial" w:hAnsi="Arial" w:cs="Arial"/>
                <w:bCs/>
                <w:sz w:val="22"/>
                <w:szCs w:val="22"/>
              </w:rPr>
              <w:t>To prevent mass starvation, a variety of foods resilient to the climate shock would be required, such as extracting proteins from leaves and relocating cold tolerant crops [3]. Another promising intervention not yet analysed is expansion of cropland area, which has significant implications for our ability to respond. Because of NW, current cropland area would not be enough to supply everyone their daily calorie requirement [4]. Areas considered unsuitable for agriculture in current conditions could become proper enough to host crop growth in NW conditions. Cropland expansion would involve preparing other land types for cultivation, which could be the key to prevent people from starving.</w:t>
            </w:r>
          </w:p>
          <w:p w14:paraId="4652B7AD" w14:textId="77777777" w:rsidR="00087496" w:rsidRDefault="00087496" w:rsidP="00087496">
            <w:pPr>
              <w:rPr>
                <w:rFonts w:ascii="Arial" w:hAnsi="Arial" w:cs="Arial"/>
                <w:b/>
                <w:sz w:val="22"/>
                <w:szCs w:val="22"/>
              </w:rPr>
            </w:pPr>
          </w:p>
          <w:p w14:paraId="5DE13B32" w14:textId="77777777" w:rsidR="0065012F" w:rsidRDefault="0065012F" w:rsidP="00087496">
            <w:pPr>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06DEAA05" w14:textId="77777777" w:rsidR="00087496" w:rsidRDefault="00087496" w:rsidP="00087496">
            <w:pPr>
              <w:rPr>
                <w:rFonts w:ascii="Arial" w:hAnsi="Arial" w:cs="Arial"/>
                <w:b/>
                <w:sz w:val="22"/>
                <w:szCs w:val="22"/>
              </w:rPr>
            </w:pPr>
          </w:p>
          <w:p w14:paraId="0B821A02" w14:textId="681D3851" w:rsidR="00087496" w:rsidRPr="00087496" w:rsidRDefault="00087496" w:rsidP="00087496">
            <w:pPr>
              <w:rPr>
                <w:rFonts w:ascii="Arial" w:hAnsi="Arial" w:cs="Arial"/>
                <w:bCs/>
                <w:sz w:val="22"/>
                <w:szCs w:val="22"/>
              </w:rPr>
            </w:pPr>
            <w:r w:rsidRPr="00087496">
              <w:rPr>
                <w:rFonts w:ascii="Arial" w:hAnsi="Arial" w:cs="Arial"/>
                <w:bCs/>
                <w:sz w:val="22"/>
                <w:szCs w:val="22"/>
              </w:rPr>
              <w:t>This work explores the potential of cropland expansion through land conversion as a resilient food solution in case of a NW with loss of industry, and aims to quantify the non-cropland area appropriate to grow crops in these conditions, the feasibility of converting and farming the land with traditional methods, and the number of people fed.</w:t>
            </w:r>
          </w:p>
          <w:p w14:paraId="7DF7D437" w14:textId="77777777" w:rsidR="0065012F" w:rsidRDefault="0065012F" w:rsidP="00087496">
            <w:pPr>
              <w:rPr>
                <w:rFonts w:ascii="Arial" w:hAnsi="Arial" w:cs="Arial"/>
                <w:b/>
                <w:sz w:val="22"/>
                <w:szCs w:val="22"/>
              </w:rPr>
            </w:pPr>
          </w:p>
          <w:p w14:paraId="457D2D05" w14:textId="4552866C" w:rsidR="0065012F" w:rsidRDefault="00906B39" w:rsidP="00087496">
            <w:pPr>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2C4CA72A" w14:textId="77777777" w:rsidR="00087496" w:rsidRDefault="00087496" w:rsidP="00087496">
            <w:pPr>
              <w:rPr>
                <w:rFonts w:ascii="Arial" w:hAnsi="Arial" w:cs="Arial"/>
                <w:b/>
                <w:sz w:val="22"/>
                <w:szCs w:val="22"/>
              </w:rPr>
            </w:pPr>
          </w:p>
          <w:p w14:paraId="30F06051" w14:textId="77777777" w:rsidR="00087496" w:rsidRPr="00087496" w:rsidRDefault="00087496" w:rsidP="00087496">
            <w:pPr>
              <w:rPr>
                <w:rFonts w:ascii="Arial" w:hAnsi="Arial" w:cs="Arial"/>
                <w:bCs/>
                <w:sz w:val="22"/>
                <w:szCs w:val="22"/>
              </w:rPr>
            </w:pPr>
            <w:r w:rsidRPr="00087496">
              <w:rPr>
                <w:rFonts w:ascii="Arial" w:hAnsi="Arial" w:cs="Arial"/>
                <w:bCs/>
                <w:sz w:val="22"/>
                <w:szCs w:val="22"/>
              </w:rPr>
              <w:t>Crop growth during a NW without industry in both cropland and non-cropland areas can be simulated using a crop model, to determine how much area is suitable in this case. By assessing the food production potential of this land, it is possible to build a supply curve that prioritizes the conversion of the most productive land first.</w:t>
            </w:r>
          </w:p>
          <w:p w14:paraId="2316E2D1" w14:textId="77777777" w:rsidR="00087496" w:rsidRPr="00087496" w:rsidRDefault="00087496" w:rsidP="00087496">
            <w:pPr>
              <w:rPr>
                <w:rFonts w:ascii="Arial" w:hAnsi="Arial" w:cs="Arial"/>
                <w:b/>
                <w:sz w:val="22"/>
                <w:szCs w:val="22"/>
              </w:rPr>
            </w:pPr>
          </w:p>
          <w:p w14:paraId="4005EBE0" w14:textId="10ABE1B0" w:rsidR="00087496" w:rsidRPr="00087496" w:rsidRDefault="00087496" w:rsidP="00087496">
            <w:pPr>
              <w:rPr>
                <w:rFonts w:ascii="Arial" w:hAnsi="Arial" w:cs="Arial"/>
                <w:bCs/>
                <w:sz w:val="22"/>
                <w:szCs w:val="22"/>
              </w:rPr>
            </w:pPr>
            <w:r w:rsidRPr="00087496">
              <w:rPr>
                <w:rFonts w:ascii="Arial" w:hAnsi="Arial" w:cs="Arial"/>
                <w:bCs/>
                <w:sz w:val="22"/>
                <w:szCs w:val="22"/>
              </w:rPr>
              <w:t xml:space="preserve">For expansion of cropland area, the land in question needs to be cleared and farmed, which requires the use of draft animals and sometimes human labour. Therefore, it is necessary to calculate the number of draft animals needed, their number of work hours, and their feed and energy requirements in a NW. The number of equipment units readily available and the units that would be made or retrofitted from previously </w:t>
            </w:r>
            <w:r w:rsidRPr="00087496">
              <w:rPr>
                <w:rFonts w:ascii="Arial" w:hAnsi="Arial" w:cs="Arial"/>
                <w:bCs/>
                <w:sz w:val="22"/>
                <w:szCs w:val="22"/>
              </w:rPr>
              <w:lastRenderedPageBreak/>
              <w:t>existing equipment also needs to be determined, such as ploughs, harrows, hoes, scythes, and sickles.</w:t>
            </w:r>
          </w:p>
          <w:p w14:paraId="015EFC6C" w14:textId="77777777" w:rsidR="0065012F" w:rsidRDefault="0065012F" w:rsidP="00087496">
            <w:pPr>
              <w:rPr>
                <w:rFonts w:ascii="Arial" w:hAnsi="Arial" w:cs="Arial"/>
                <w:b/>
                <w:sz w:val="22"/>
                <w:szCs w:val="22"/>
              </w:rPr>
            </w:pPr>
          </w:p>
          <w:p w14:paraId="62DAA8AE" w14:textId="77777777" w:rsidR="0065012F" w:rsidRDefault="0065012F" w:rsidP="00087496">
            <w:pPr>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143BF1FD" w14:textId="77777777" w:rsidR="00087496" w:rsidRDefault="00087496" w:rsidP="00087496">
            <w:pPr>
              <w:rPr>
                <w:rFonts w:ascii="Arial" w:hAnsi="Arial" w:cs="Arial"/>
                <w:b/>
                <w:sz w:val="22"/>
                <w:szCs w:val="22"/>
              </w:rPr>
            </w:pPr>
          </w:p>
          <w:p w14:paraId="727F2CFF" w14:textId="6F4D4035" w:rsidR="00087496" w:rsidRPr="00087496" w:rsidRDefault="00087496" w:rsidP="00087496">
            <w:pPr>
              <w:rPr>
                <w:rFonts w:ascii="Arial" w:hAnsi="Arial" w:cs="Arial"/>
                <w:bCs/>
                <w:sz w:val="22"/>
                <w:szCs w:val="22"/>
              </w:rPr>
            </w:pPr>
            <w:r w:rsidRPr="00087496">
              <w:rPr>
                <w:rFonts w:ascii="Arial" w:hAnsi="Arial" w:cs="Arial"/>
                <w:bCs/>
                <w:sz w:val="22"/>
                <w:szCs w:val="22"/>
              </w:rPr>
              <w:t>The results are the number of people fed as a function of time after the catastrophe and at what approximate cost, as well as the updated patterns of cultivation under the new disaster conditions - which are vital inputs for trade and accessibility modelling.</w:t>
            </w:r>
          </w:p>
          <w:p w14:paraId="26DC99F1" w14:textId="77777777" w:rsidR="0065012F" w:rsidRDefault="0065012F" w:rsidP="00087496">
            <w:pPr>
              <w:rPr>
                <w:rFonts w:ascii="Arial" w:hAnsi="Arial" w:cs="Arial"/>
                <w:b/>
                <w:sz w:val="22"/>
                <w:szCs w:val="22"/>
              </w:rPr>
            </w:pPr>
          </w:p>
          <w:p w14:paraId="261EC656" w14:textId="2669F05C" w:rsidR="00C8423A" w:rsidRDefault="0065012F" w:rsidP="00087496">
            <w:pPr>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77777777" w:rsidR="00BE58D6" w:rsidRDefault="00BE58D6" w:rsidP="00087496">
            <w:pPr>
              <w:rPr>
                <w:rFonts w:ascii="Arial" w:hAnsi="Arial" w:cs="Arial"/>
                <w:b/>
                <w:sz w:val="22"/>
                <w:szCs w:val="22"/>
              </w:rPr>
            </w:pPr>
          </w:p>
          <w:p w14:paraId="3542770C" w14:textId="4128E299" w:rsidR="00087496" w:rsidRPr="00087496" w:rsidRDefault="00087496" w:rsidP="00087496">
            <w:pPr>
              <w:rPr>
                <w:rFonts w:ascii="Arial" w:hAnsi="Arial" w:cs="Arial"/>
                <w:bCs/>
                <w:sz w:val="22"/>
                <w:szCs w:val="22"/>
              </w:rPr>
            </w:pPr>
            <w:r w:rsidRPr="00087496">
              <w:rPr>
                <w:rFonts w:ascii="Arial" w:hAnsi="Arial" w:cs="Arial"/>
                <w:bCs/>
                <w:sz w:val="22"/>
                <w:szCs w:val="22"/>
              </w:rPr>
              <w:t>Given that food supply systems have become very globalised and interconnected, a catastrophic shock in a region could subsequently impact others, which could jeopardise food availability on a global scale. To bridge the gap between the depletion of food stocks and the scaling up of other resilient foods, adaptations to our current food systems should be made as soon as the catastrophe happens to increase food availability [5]. The implementation of the cropland expansion plan could be key to preventing people from starving.</w:t>
            </w:r>
          </w:p>
          <w:p w14:paraId="4D7B65A8" w14:textId="77777777" w:rsidR="00BE58D6" w:rsidRDefault="00BE58D6" w:rsidP="00087496">
            <w:pPr>
              <w:rPr>
                <w:rFonts w:ascii="Arial" w:hAnsi="Arial" w:cs="Arial"/>
                <w:b/>
                <w:sz w:val="22"/>
                <w:szCs w:val="22"/>
              </w:rPr>
            </w:pPr>
          </w:p>
          <w:p w14:paraId="12759150" w14:textId="77777777" w:rsidR="00087496" w:rsidRDefault="00087496" w:rsidP="00087496">
            <w:pPr>
              <w:rPr>
                <w:rFonts w:ascii="Arial" w:hAnsi="Arial" w:cs="Arial"/>
                <w:bCs/>
                <w:sz w:val="22"/>
                <w:szCs w:val="22"/>
              </w:rPr>
            </w:pPr>
          </w:p>
          <w:p w14:paraId="4C758ACE" w14:textId="2B6C203F" w:rsidR="00087496" w:rsidRPr="00087496" w:rsidRDefault="00087496" w:rsidP="00087496">
            <w:pPr>
              <w:rPr>
                <w:rFonts w:ascii="Arial" w:hAnsi="Arial" w:cs="Arial"/>
                <w:b/>
                <w:sz w:val="22"/>
                <w:szCs w:val="22"/>
              </w:rPr>
            </w:pPr>
            <w:r w:rsidRPr="00087496">
              <w:rPr>
                <w:rFonts w:ascii="Arial" w:hAnsi="Arial" w:cs="Arial"/>
                <w:b/>
                <w:sz w:val="22"/>
                <w:szCs w:val="22"/>
              </w:rPr>
              <w:t>References</w:t>
            </w:r>
          </w:p>
          <w:p w14:paraId="4122B9A2" w14:textId="77777777" w:rsidR="00087496" w:rsidRPr="00087496" w:rsidRDefault="00087496" w:rsidP="00087496">
            <w:pPr>
              <w:pStyle w:val="Default"/>
              <w:rPr>
                <w:sz w:val="22"/>
                <w:szCs w:val="22"/>
              </w:rPr>
            </w:pPr>
            <w:r w:rsidRPr="00087496">
              <w:rPr>
                <w:sz w:val="22"/>
                <w:szCs w:val="22"/>
              </w:rPr>
              <w:t xml:space="preserve">[1] L. Xia </w:t>
            </w:r>
            <w:r w:rsidRPr="00087496">
              <w:rPr>
                <w:i/>
                <w:iCs/>
                <w:sz w:val="22"/>
                <w:szCs w:val="22"/>
              </w:rPr>
              <w:t>et al.</w:t>
            </w:r>
            <w:r w:rsidRPr="00087496">
              <w:rPr>
                <w:sz w:val="22"/>
                <w:szCs w:val="22"/>
              </w:rPr>
              <w:t>, “Global food insecurity and famine from reduced crop, marine fishery</w:t>
            </w:r>
          </w:p>
          <w:p w14:paraId="54EAF769" w14:textId="77777777" w:rsidR="00087496" w:rsidRPr="00087496" w:rsidRDefault="00087496" w:rsidP="00087496">
            <w:pPr>
              <w:pStyle w:val="Default"/>
              <w:ind w:left="720"/>
              <w:rPr>
                <w:sz w:val="22"/>
                <w:szCs w:val="22"/>
              </w:rPr>
            </w:pPr>
            <w:r w:rsidRPr="00087496">
              <w:rPr>
                <w:sz w:val="22"/>
                <w:szCs w:val="22"/>
              </w:rPr>
              <w:t>and livestock production due to climate disruption from nuclear war soot injection,”</w:t>
            </w:r>
          </w:p>
          <w:p w14:paraId="434F0601" w14:textId="49EE4572" w:rsidR="00087496" w:rsidRPr="00087496" w:rsidRDefault="00087496" w:rsidP="00087496">
            <w:pPr>
              <w:pStyle w:val="Default"/>
              <w:ind w:left="720"/>
              <w:rPr>
                <w:sz w:val="22"/>
                <w:szCs w:val="22"/>
              </w:rPr>
            </w:pPr>
            <w:r w:rsidRPr="00087496">
              <w:rPr>
                <w:i/>
                <w:iCs/>
                <w:sz w:val="22"/>
                <w:szCs w:val="22"/>
              </w:rPr>
              <w:t>Nat. Food</w:t>
            </w:r>
            <w:r w:rsidRPr="00087496">
              <w:rPr>
                <w:sz w:val="22"/>
                <w:szCs w:val="22"/>
              </w:rPr>
              <w:t xml:space="preserve">, vol. 3, no. 8, 2022, </w:t>
            </w:r>
            <w:proofErr w:type="spellStart"/>
            <w:r w:rsidRPr="00087496">
              <w:rPr>
                <w:sz w:val="22"/>
                <w:szCs w:val="22"/>
              </w:rPr>
              <w:t>doi</w:t>
            </w:r>
            <w:proofErr w:type="spellEnd"/>
            <w:r w:rsidRPr="00087496">
              <w:rPr>
                <w:sz w:val="22"/>
                <w:szCs w:val="22"/>
              </w:rPr>
              <w:t xml:space="preserve">: 10.1038/s43016-022-00573-0. </w:t>
            </w:r>
          </w:p>
          <w:p w14:paraId="535D0CF1" w14:textId="77777777" w:rsidR="00087496" w:rsidRPr="00087496" w:rsidRDefault="00087496" w:rsidP="00087496">
            <w:pPr>
              <w:pStyle w:val="Default"/>
              <w:rPr>
                <w:sz w:val="22"/>
                <w:szCs w:val="22"/>
              </w:rPr>
            </w:pPr>
            <w:r w:rsidRPr="00087496">
              <w:rPr>
                <w:sz w:val="22"/>
                <w:szCs w:val="22"/>
              </w:rPr>
              <w:t>[2] D. D. Cole, D. Denkenberger, M. Griswold, M. Abdelkhaliq, and J. M. Pearce,</w:t>
            </w:r>
          </w:p>
          <w:p w14:paraId="49A6355C" w14:textId="150835EA" w:rsidR="00087496" w:rsidRPr="00087496" w:rsidRDefault="00087496" w:rsidP="00087496">
            <w:pPr>
              <w:pStyle w:val="Default"/>
              <w:ind w:left="720"/>
              <w:rPr>
                <w:sz w:val="22"/>
                <w:szCs w:val="22"/>
              </w:rPr>
            </w:pPr>
            <w:r w:rsidRPr="00087496">
              <w:rPr>
                <w:sz w:val="22"/>
                <w:szCs w:val="22"/>
              </w:rPr>
              <w:t xml:space="preserve">“Feeding everyone if industry is disabled,” in </w:t>
            </w:r>
            <w:r w:rsidRPr="00087496">
              <w:rPr>
                <w:i/>
                <w:iCs/>
                <w:sz w:val="22"/>
                <w:szCs w:val="22"/>
              </w:rPr>
              <w:t>Proceedings of the 6th International Disaster and Risk Conference: Integrative Risk Management - Towards Resilient Cities, IDRC Davos 2016</w:t>
            </w:r>
            <w:r w:rsidRPr="00087496">
              <w:rPr>
                <w:sz w:val="22"/>
                <w:szCs w:val="22"/>
              </w:rPr>
              <w:t xml:space="preserve">, Global Risk Forum (GRF), 2016, pp. 141–146. </w:t>
            </w:r>
          </w:p>
          <w:p w14:paraId="14433A33" w14:textId="77777777" w:rsidR="00087496" w:rsidRPr="00087496" w:rsidRDefault="00087496" w:rsidP="00087496">
            <w:pPr>
              <w:pStyle w:val="Default"/>
              <w:rPr>
                <w:sz w:val="22"/>
                <w:szCs w:val="22"/>
              </w:rPr>
            </w:pPr>
            <w:r w:rsidRPr="00087496">
              <w:rPr>
                <w:sz w:val="22"/>
                <w:szCs w:val="22"/>
              </w:rPr>
              <w:t xml:space="preserve">[3] A. Pham, J. B. García Martínez, V. Brynych, R. </w:t>
            </w:r>
            <w:proofErr w:type="spellStart"/>
            <w:r w:rsidRPr="00087496">
              <w:rPr>
                <w:sz w:val="22"/>
                <w:szCs w:val="22"/>
              </w:rPr>
              <w:t>Stormbjorne</w:t>
            </w:r>
            <w:proofErr w:type="spellEnd"/>
            <w:r w:rsidRPr="00087496">
              <w:rPr>
                <w:sz w:val="22"/>
                <w:szCs w:val="22"/>
              </w:rPr>
              <w:t>, J. M. Pearce, and D.</w:t>
            </w:r>
          </w:p>
          <w:p w14:paraId="77A42663" w14:textId="77777777" w:rsidR="00087496" w:rsidRPr="00087496" w:rsidRDefault="00087496" w:rsidP="00087496">
            <w:pPr>
              <w:pStyle w:val="Default"/>
              <w:ind w:left="720"/>
              <w:rPr>
                <w:sz w:val="22"/>
                <w:szCs w:val="22"/>
              </w:rPr>
            </w:pPr>
            <w:r w:rsidRPr="00087496">
              <w:rPr>
                <w:sz w:val="22"/>
                <w:szCs w:val="22"/>
              </w:rPr>
              <w:t>C. Denkenberger, “Nutrition in abrupt sunlight reduction scenarios: envisioning</w:t>
            </w:r>
          </w:p>
          <w:p w14:paraId="0859D641" w14:textId="1F0874B3" w:rsidR="00087496" w:rsidRPr="00087496" w:rsidRDefault="00087496" w:rsidP="00087496">
            <w:pPr>
              <w:pStyle w:val="Default"/>
              <w:ind w:left="720"/>
              <w:rPr>
                <w:sz w:val="22"/>
                <w:szCs w:val="22"/>
              </w:rPr>
            </w:pPr>
            <w:r w:rsidRPr="00087496">
              <w:rPr>
                <w:sz w:val="22"/>
                <w:szCs w:val="22"/>
              </w:rPr>
              <w:t xml:space="preserve">feasible balanced diets on resilient foods,” </w:t>
            </w:r>
            <w:r w:rsidRPr="00087496">
              <w:rPr>
                <w:i/>
                <w:iCs/>
                <w:sz w:val="22"/>
                <w:szCs w:val="22"/>
              </w:rPr>
              <w:t>Nutrients</w:t>
            </w:r>
            <w:r w:rsidRPr="00087496">
              <w:rPr>
                <w:sz w:val="22"/>
                <w:szCs w:val="22"/>
              </w:rPr>
              <w:t xml:space="preserve">, vol. 14, no. 3, p. 492, Jan. 2022, </w:t>
            </w:r>
            <w:proofErr w:type="spellStart"/>
            <w:r w:rsidRPr="00087496">
              <w:rPr>
                <w:sz w:val="22"/>
                <w:szCs w:val="22"/>
              </w:rPr>
              <w:t>doi</w:t>
            </w:r>
            <w:proofErr w:type="spellEnd"/>
            <w:r w:rsidRPr="00087496">
              <w:rPr>
                <w:sz w:val="22"/>
                <w:szCs w:val="22"/>
              </w:rPr>
              <w:t xml:space="preserve">: 10.3390/nu14030492. </w:t>
            </w:r>
          </w:p>
          <w:p w14:paraId="5C98451F" w14:textId="77777777" w:rsidR="00087496" w:rsidRPr="00087496" w:rsidRDefault="00087496" w:rsidP="00087496">
            <w:pPr>
              <w:pStyle w:val="Default"/>
              <w:rPr>
                <w:sz w:val="22"/>
                <w:szCs w:val="22"/>
              </w:rPr>
            </w:pPr>
            <w:r w:rsidRPr="00087496">
              <w:rPr>
                <w:sz w:val="22"/>
                <w:szCs w:val="22"/>
              </w:rPr>
              <w:t>[4] M. Boyd and N. Wilson, “Island refuges for surviving nuclear winter and other</w:t>
            </w:r>
          </w:p>
          <w:p w14:paraId="1A7A7BA2" w14:textId="77777777" w:rsidR="00087496" w:rsidRPr="00087496" w:rsidRDefault="00087496" w:rsidP="00087496">
            <w:pPr>
              <w:pStyle w:val="Default"/>
              <w:ind w:left="720"/>
              <w:rPr>
                <w:sz w:val="22"/>
                <w:szCs w:val="22"/>
              </w:rPr>
            </w:pPr>
            <w:r w:rsidRPr="00087496">
              <w:rPr>
                <w:sz w:val="22"/>
                <w:szCs w:val="22"/>
              </w:rPr>
              <w:t xml:space="preserve">abrupt sunlight-reducing catastrophes,” </w:t>
            </w:r>
            <w:r w:rsidRPr="00087496">
              <w:rPr>
                <w:i/>
                <w:iCs/>
                <w:sz w:val="22"/>
                <w:szCs w:val="22"/>
              </w:rPr>
              <w:t>Risk Anal.</w:t>
            </w:r>
            <w:r w:rsidRPr="00087496">
              <w:rPr>
                <w:sz w:val="22"/>
                <w:szCs w:val="22"/>
              </w:rPr>
              <w:t>, vol. 43, no. 9, 2023, doi:</w:t>
            </w:r>
          </w:p>
          <w:p w14:paraId="797D2831" w14:textId="270C35D9" w:rsidR="00087496" w:rsidRPr="00087496" w:rsidRDefault="00087496" w:rsidP="00087496">
            <w:pPr>
              <w:pStyle w:val="Default"/>
              <w:ind w:left="720"/>
              <w:rPr>
                <w:sz w:val="22"/>
                <w:szCs w:val="22"/>
              </w:rPr>
            </w:pPr>
            <w:r w:rsidRPr="00087496">
              <w:rPr>
                <w:sz w:val="22"/>
                <w:szCs w:val="22"/>
              </w:rPr>
              <w:t xml:space="preserve">10.1111/risa.14072. </w:t>
            </w:r>
          </w:p>
          <w:p w14:paraId="1FB2086E" w14:textId="77777777" w:rsidR="00087496" w:rsidRDefault="00087496" w:rsidP="00087496">
            <w:pPr>
              <w:rPr>
                <w:rFonts w:ascii="Arial" w:hAnsi="Arial" w:cs="Arial"/>
                <w:i/>
                <w:iCs/>
                <w:sz w:val="22"/>
                <w:szCs w:val="22"/>
              </w:rPr>
            </w:pPr>
            <w:r w:rsidRPr="00087496">
              <w:rPr>
                <w:rFonts w:ascii="Arial" w:hAnsi="Arial" w:cs="Arial"/>
                <w:sz w:val="22"/>
                <w:szCs w:val="22"/>
              </w:rPr>
              <w:t xml:space="preserve">[5] M. Rivers </w:t>
            </w:r>
            <w:r w:rsidRPr="00087496">
              <w:rPr>
                <w:rFonts w:ascii="Arial" w:hAnsi="Arial" w:cs="Arial"/>
                <w:i/>
                <w:iCs/>
                <w:sz w:val="22"/>
                <w:szCs w:val="22"/>
              </w:rPr>
              <w:t>et al.</w:t>
            </w:r>
            <w:r w:rsidRPr="00087496">
              <w:rPr>
                <w:rFonts w:ascii="Arial" w:hAnsi="Arial" w:cs="Arial"/>
                <w:sz w:val="22"/>
                <w:szCs w:val="22"/>
              </w:rPr>
              <w:t xml:space="preserve">, </w:t>
            </w:r>
            <w:r w:rsidRPr="00087496">
              <w:rPr>
                <w:rFonts w:ascii="Arial" w:hAnsi="Arial" w:cs="Arial"/>
                <w:i/>
                <w:iCs/>
                <w:sz w:val="22"/>
                <w:szCs w:val="22"/>
              </w:rPr>
              <w:t>Food system adaptation and maintaining trade could mitigate</w:t>
            </w:r>
          </w:p>
          <w:p w14:paraId="142DBFA4" w14:textId="77777777" w:rsidR="00087496" w:rsidRDefault="00087496" w:rsidP="00087496">
            <w:pPr>
              <w:ind w:left="720"/>
              <w:rPr>
                <w:rFonts w:ascii="Arial" w:hAnsi="Arial" w:cs="Arial"/>
                <w:sz w:val="22"/>
                <w:szCs w:val="22"/>
              </w:rPr>
            </w:pPr>
            <w:r w:rsidRPr="00087496">
              <w:rPr>
                <w:rFonts w:ascii="Arial" w:hAnsi="Arial" w:cs="Arial"/>
                <w:i/>
                <w:iCs/>
                <w:sz w:val="22"/>
                <w:szCs w:val="22"/>
              </w:rPr>
              <w:t>global famine in abrupt sunlight reduction scenarios</w:t>
            </w:r>
            <w:r w:rsidRPr="00087496">
              <w:rPr>
                <w:rFonts w:ascii="Arial" w:hAnsi="Arial" w:cs="Arial"/>
                <w:sz w:val="22"/>
                <w:szCs w:val="22"/>
              </w:rPr>
              <w:t>. 2024. doi:</w:t>
            </w:r>
          </w:p>
          <w:p w14:paraId="1A078683" w14:textId="18EB411D" w:rsidR="00BE58D6" w:rsidRPr="00087496" w:rsidRDefault="00087496" w:rsidP="00087496">
            <w:pPr>
              <w:ind w:left="720"/>
              <w:rPr>
                <w:rFonts w:ascii="Arial" w:hAnsi="Arial" w:cs="Arial"/>
                <w:b/>
                <w:sz w:val="22"/>
                <w:szCs w:val="22"/>
              </w:rPr>
            </w:pPr>
            <w:r w:rsidRPr="00087496">
              <w:rPr>
                <w:rFonts w:ascii="Arial" w:hAnsi="Arial" w:cs="Arial"/>
                <w:sz w:val="22"/>
                <w:szCs w:val="22"/>
              </w:rPr>
              <w:t xml:space="preserve">10.5281/zenodo.11484350. </w:t>
            </w:r>
          </w:p>
          <w:p w14:paraId="39AA1BB4" w14:textId="77777777" w:rsidR="00BE58D6" w:rsidRDefault="00BE58D6" w:rsidP="00087496">
            <w:pPr>
              <w:rPr>
                <w:rFonts w:ascii="Arial" w:hAnsi="Arial" w:cs="Arial"/>
                <w:b/>
                <w:sz w:val="22"/>
                <w:szCs w:val="22"/>
              </w:rPr>
            </w:pPr>
          </w:p>
          <w:p w14:paraId="2CBAECD6" w14:textId="729DADBB" w:rsidR="009F4EA0" w:rsidRPr="000D7047" w:rsidRDefault="009F4EA0" w:rsidP="00087496">
            <w:pPr>
              <w:rPr>
                <w:rFonts w:ascii="Arial" w:hAnsi="Arial" w:cs="Arial"/>
                <w:b/>
                <w:sz w:val="22"/>
                <w:szCs w:val="22"/>
              </w:rPr>
            </w:pPr>
          </w:p>
        </w:tc>
      </w:tr>
    </w:tbl>
    <w:p w14:paraId="14FC3BE1" w14:textId="1ED2D544" w:rsidR="00C8423A" w:rsidRDefault="00C8423A" w:rsidP="00087496">
      <w:pPr>
        <w:tabs>
          <w:tab w:val="left" w:pos="8931"/>
        </w:tabs>
      </w:pPr>
    </w:p>
    <w:p w14:paraId="15AC9FEF" w14:textId="15B67474" w:rsidR="009010B0" w:rsidRPr="00C26081" w:rsidRDefault="009010B0" w:rsidP="00087496"/>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87496"/>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6B5300"/>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E53FE"/>
    <w:rsid w:val="00D26B1A"/>
    <w:rsid w:val="00D60AD0"/>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customStyle="1" w:styleId="Default">
    <w:name w:val="Default"/>
    <w:rsid w:val="00087496"/>
    <w:pPr>
      <w:autoSpaceDE w:val="0"/>
      <w:autoSpaceDN w:val="0"/>
      <w:adjustRightInd w:val="0"/>
    </w:pPr>
    <w:rPr>
      <w:rFonts w:ascii="Arial" w:hAnsi="Arial" w:cs="Arial"/>
      <w:color w:val="00000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08E1B-B05F-418B-810D-46CFE27D6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cab52c9b-ab33-4221-8af9-54f8f2b86a80"/>
    <ds:schemaRef ds:uri="9c8a2b7b-0bee-4c48-b0a6-23db8982d3bc"/>
    <ds:schemaRef ds:uri="6911e96c-4cc4-42d5-8e43-f93924cf6a05"/>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721</Words>
  <Characters>4114</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2025-03-09T20:21:00Z</dcterms:created>
  <dcterms:modified xsi:type="dcterms:W3CDTF">2025-08-12T00:46:00Z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