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9"/>
      </w:tblGrid>
      <w:tr w:rsidR="001564A4" w:rsidRPr="0050053A" w14:paraId="5C38377B" w14:textId="77777777" w:rsidTr="004C1EC3">
        <w:trPr>
          <w:trHeight w:val="778"/>
          <w:jc w:val="center"/>
        </w:trPr>
        <w:tc>
          <w:tcPr>
            <w:tcW w:w="8819" w:type="dxa"/>
            <w:shd w:val="clear" w:color="auto" w:fill="auto"/>
          </w:tcPr>
          <w:p w14:paraId="5C44F357" w14:textId="04C069C0" w:rsidR="001564A4" w:rsidRPr="0050053A" w:rsidRDefault="002B23C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Enhancing ER-protein folding capacity restores steroid sensitivity in severe asthmatic airways</w:t>
            </w:r>
          </w:p>
        </w:tc>
      </w:tr>
      <w:tr w:rsidR="001564A4" w:rsidRPr="0050053A" w14:paraId="0E2E035C" w14:textId="77777777" w:rsidTr="004C1EC3">
        <w:trPr>
          <w:trHeight w:val="794"/>
          <w:jc w:val="center"/>
        </w:trPr>
        <w:tc>
          <w:tcPr>
            <w:tcW w:w="8819" w:type="dxa"/>
            <w:shd w:val="clear" w:color="auto" w:fill="auto"/>
          </w:tcPr>
          <w:p w14:paraId="73B55295" w14:textId="3C573649" w:rsidR="001564A4" w:rsidRPr="00413B94" w:rsidRDefault="002B23C5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Prabuddha S. Pathinayake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Alexandra C. Brown</w:t>
            </w:r>
            <w:r w:rsidRPr="0022488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F7EAD">
              <w:rPr>
                <w:rFonts w:ascii="Arial" w:hAnsi="Arial" w:cs="Arial"/>
                <w:sz w:val="22"/>
                <w:szCs w:val="22"/>
                <w:lang w:val="en-US" w:eastAsia="en-GB"/>
              </w:rPr>
              <w:t>Richard</w:t>
            </w:r>
            <w:r w:rsidR="00490AC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Y. Kim</w:t>
            </w:r>
            <w:r w:rsidR="00490AC5" w:rsidRPr="00490AC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2,6</w:t>
            </w:r>
            <w:r w:rsidR="00490AC5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F7EA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Jay </w:t>
            </w:r>
            <w:r w:rsidR="003F2BF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C.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Horvat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and Peter A.B. Wark</w:t>
            </w:r>
            <w:r w:rsidRPr="009809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  <w:r w:rsidR="00536C0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,4,5</w:t>
            </w:r>
          </w:p>
        </w:tc>
      </w:tr>
      <w:tr w:rsidR="001564A4" w:rsidRPr="0050053A" w14:paraId="385A19D9" w14:textId="77777777" w:rsidTr="004C1EC3">
        <w:trPr>
          <w:trHeight w:val="144"/>
          <w:jc w:val="center"/>
        </w:trPr>
        <w:tc>
          <w:tcPr>
            <w:tcW w:w="8819" w:type="dxa"/>
            <w:shd w:val="clear" w:color="auto" w:fill="auto"/>
          </w:tcPr>
          <w:p w14:paraId="1FF2D4D0" w14:textId="77777777" w:rsidR="00536C0E" w:rsidRDefault="002B23C5" w:rsidP="00536C0E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BC304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School of Medicine and Public Health, </w:t>
            </w:r>
            <w:r w:rsidRPr="00BC304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The University of Newcastle</w:t>
            </w: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and </w:t>
            </w:r>
            <w:r w:rsidRPr="00BC304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Hunter Medical Research Institute, Newcastle, NSW, Australia</w:t>
            </w:r>
          </w:p>
          <w:p w14:paraId="076724F1" w14:textId="0DC37F2F" w:rsidR="00536C0E" w:rsidRDefault="002B23C5" w:rsidP="00536C0E">
            <w:pPr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</w:pPr>
            <w:r w:rsidRPr="00BC304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School of Biomedical Sciences and Pharmacy, </w:t>
            </w:r>
            <w:r w:rsidRPr="00BC304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The University of Newcastle</w:t>
            </w: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and </w:t>
            </w:r>
            <w:r w:rsidRPr="00BC3047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Hunter Medical Research Institute, Newcastle, NSW, Australia</w:t>
            </w:r>
          </w:p>
          <w:p w14:paraId="67378405" w14:textId="41DB05E1" w:rsidR="00536C0E" w:rsidRDefault="002B23C5" w:rsidP="00536C0E">
            <w:pPr>
              <w:spacing w:before="120" w:after="12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36C0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n-US" w:eastAsia="en-GB"/>
              </w:rPr>
              <w:t>3</w:t>
            </w:r>
            <w:r w:rsidRPr="00536C0E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Department of Respiratory and Sleep Medicine, John Hunter Hospital, New Lambton Heights, New South Wales, Australia</w:t>
            </w:r>
          </w:p>
          <w:p w14:paraId="617986D7" w14:textId="0A7D6C2C" w:rsidR="00536C0E" w:rsidRDefault="002B23C5" w:rsidP="002B23C5">
            <w:pPr>
              <w:pStyle w:val="HTMLAddress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B23C5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4</w:t>
            </w:r>
            <w:r w:rsidRPr="002B23C5">
              <w:rPr>
                <w:rFonts w:ascii="Arial" w:hAnsi="Arial" w:cs="Arial"/>
                <w:color w:val="333333"/>
                <w:sz w:val="20"/>
                <w:szCs w:val="20"/>
              </w:rPr>
              <w:t xml:space="preserve"> School of Medicine, Monash University, Melbourne, Victoria, Australia.</w:t>
            </w:r>
          </w:p>
          <w:p w14:paraId="37AF2915" w14:textId="77777777" w:rsidR="00536C0E" w:rsidRDefault="00536C0E" w:rsidP="002B23C5">
            <w:pPr>
              <w:pStyle w:val="HTMLAddress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6BBC250C" w14:textId="77777777" w:rsidR="001564A4" w:rsidRDefault="002B23C5" w:rsidP="00536C0E">
            <w:pPr>
              <w:pStyle w:val="HTMLAddress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B23C5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5</w:t>
            </w:r>
            <w:r w:rsidRPr="002B23C5">
              <w:rPr>
                <w:rFonts w:ascii="Arial" w:hAnsi="Arial" w:cs="Arial"/>
                <w:color w:val="333333"/>
                <w:sz w:val="20"/>
                <w:szCs w:val="20"/>
              </w:rPr>
              <w:t xml:space="preserve"> AIRMED Alfred Health, Melbourne, Victoria, Australia.</w:t>
            </w:r>
          </w:p>
          <w:p w14:paraId="54081AC8" w14:textId="77777777" w:rsidR="009F7EAD" w:rsidRDefault="009F7EAD" w:rsidP="00536C0E">
            <w:pPr>
              <w:pStyle w:val="HTMLAddress"/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45ED36BF" w14:textId="0EDBC7CD" w:rsidR="009F7EAD" w:rsidRPr="009F7EAD" w:rsidRDefault="009F7EAD" w:rsidP="00536C0E">
            <w:pPr>
              <w:pStyle w:val="HTMLAddress"/>
              <w:shd w:val="clear" w:color="auto" w:fill="FFFFFF"/>
              <w:rPr>
                <w:rFonts w:ascii="Arial" w:hAnsi="Arial" w:cs="Arial"/>
                <w:iCs w:val="0"/>
                <w:sz w:val="20"/>
                <w:szCs w:val="20"/>
                <w:lang w:val="en-US" w:eastAsia="en-GB"/>
              </w:rPr>
            </w:pPr>
            <w:r w:rsidRPr="009F7EAD">
              <w:rPr>
                <w:rFonts w:ascii="Arial" w:hAnsi="Arial" w:cs="Arial"/>
                <w:iCs w:val="0"/>
                <w:sz w:val="20"/>
                <w:szCs w:val="20"/>
                <w:vertAlign w:val="superscript"/>
                <w:lang w:val="en-US" w:eastAsia="en-GB"/>
              </w:rPr>
              <w:t>6</w:t>
            </w:r>
            <w:r w:rsidRPr="009F7EAD">
              <w:rPr>
                <w:rFonts w:ascii="Arial" w:hAnsi="Arial" w:cs="Arial"/>
                <w:iCs w:val="0"/>
                <w:sz w:val="20"/>
                <w:szCs w:val="20"/>
                <w:lang w:val="en-US" w:eastAsia="en-GB"/>
              </w:rPr>
              <w:t>University of Technology Sydney, School of Life Sciences, Sydney, Australia</w:t>
            </w:r>
          </w:p>
        </w:tc>
      </w:tr>
      <w:tr w:rsidR="001564A4" w:rsidRPr="0050053A" w14:paraId="6DAF615A" w14:textId="77777777" w:rsidTr="004C1EC3">
        <w:trPr>
          <w:trHeight w:hRule="exact" w:val="8283"/>
          <w:jc w:val="center"/>
        </w:trPr>
        <w:tc>
          <w:tcPr>
            <w:tcW w:w="8819" w:type="dxa"/>
            <w:shd w:val="clear" w:color="auto" w:fill="auto"/>
          </w:tcPr>
          <w:p w14:paraId="739E7937" w14:textId="37F7600B" w:rsidR="001564A4" w:rsidRPr="008E6586" w:rsidRDefault="001564A4" w:rsidP="008E6586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8E6586">
              <w:rPr>
                <w:rStyle w:val="A4"/>
              </w:rPr>
              <w:t xml:space="preserve">People with severe steroid-resistant asthma show </w:t>
            </w:r>
            <w:r w:rsidR="008E6586" w:rsidRPr="008E6586">
              <w:rPr>
                <w:rStyle w:val="A4"/>
              </w:rPr>
              <w:t>poor disease control, progressive loss of lung function and</w:t>
            </w:r>
            <w:r w:rsidR="008E6586">
              <w:rPr>
                <w:rStyle w:val="A4"/>
              </w:rPr>
              <w:t xml:space="preserve"> </w:t>
            </w:r>
            <w:r w:rsidR="008E6586" w:rsidRPr="008E6586">
              <w:rPr>
                <w:rStyle w:val="A4"/>
              </w:rPr>
              <w:t xml:space="preserve">need to use high doses of </w:t>
            </w:r>
            <w:r w:rsidR="00B820DB">
              <w:rPr>
                <w:rStyle w:val="A4"/>
              </w:rPr>
              <w:t xml:space="preserve">inhaled and </w:t>
            </w:r>
            <w:r w:rsidR="008E6586" w:rsidRPr="008E6586">
              <w:rPr>
                <w:rStyle w:val="A4"/>
              </w:rPr>
              <w:t>systemic corticosteroids</w:t>
            </w:r>
            <w:r w:rsidR="008E6586">
              <w:rPr>
                <w:rStyle w:val="A4"/>
              </w:rPr>
              <w:t xml:space="preserve">. </w:t>
            </w:r>
            <w:r w:rsidR="00123670">
              <w:rPr>
                <w:rStyle w:val="A4"/>
              </w:rPr>
              <w:t>Glucocorticoid Receptor (GR)-</w:t>
            </w:r>
            <w:r w:rsidR="00B820DB">
              <w:rPr>
                <w:rStyle w:val="A4"/>
              </w:rPr>
              <w:t>Heat shock protein 90 (</w:t>
            </w:r>
            <w:r w:rsidR="00123670">
              <w:rPr>
                <w:rStyle w:val="A4"/>
              </w:rPr>
              <w:t>HSP90</w:t>
            </w:r>
            <w:r w:rsidR="00B820DB">
              <w:rPr>
                <w:rStyle w:val="A4"/>
              </w:rPr>
              <w:t>)</w:t>
            </w:r>
            <w:r w:rsidR="00123670">
              <w:rPr>
                <w:rStyle w:val="A4"/>
              </w:rPr>
              <w:t xml:space="preserve"> multiprotein heterocomplex </w:t>
            </w:r>
            <w:r w:rsidR="00B820DB">
              <w:rPr>
                <w:rStyle w:val="A4"/>
              </w:rPr>
              <w:t xml:space="preserve">formation </w:t>
            </w:r>
            <w:r w:rsidR="00123670">
              <w:rPr>
                <w:rStyle w:val="A4"/>
              </w:rPr>
              <w:t xml:space="preserve">is important for efficient steroid signalling. Upregulated </w:t>
            </w:r>
            <w:r w:rsidR="00B820DB">
              <w:rPr>
                <w:rStyle w:val="A4"/>
              </w:rPr>
              <w:t xml:space="preserve">endoplasmic reticulum (ER) stress and protein folding defects could interfere with this process. </w:t>
            </w:r>
            <w:r w:rsidR="00312844">
              <w:rPr>
                <w:rStyle w:val="A4"/>
              </w:rPr>
              <w:t>Here we show that facilitating ER</w:t>
            </w:r>
            <w:r w:rsidR="00B820DB">
              <w:rPr>
                <w:rStyle w:val="A4"/>
              </w:rPr>
              <w:t xml:space="preserve"> </w:t>
            </w:r>
            <w:r w:rsidR="00312844">
              <w:rPr>
                <w:rStyle w:val="A4"/>
              </w:rPr>
              <w:t>protein folding capacity using chemical chaperone</w:t>
            </w:r>
            <w:r w:rsidR="00B643F8">
              <w:rPr>
                <w:rStyle w:val="A4"/>
              </w:rPr>
              <w:t>s</w:t>
            </w:r>
            <w:r w:rsidR="00312844">
              <w:rPr>
                <w:rStyle w:val="A4"/>
              </w:rPr>
              <w:t xml:space="preserve"> enhances steroid sensitivity in </w:t>
            </w:r>
            <w:r w:rsidR="00C60CA8">
              <w:rPr>
                <w:rStyle w:val="A4"/>
              </w:rPr>
              <w:t xml:space="preserve">experimental </w:t>
            </w:r>
            <w:r w:rsidR="00312844">
              <w:rPr>
                <w:rStyle w:val="A4"/>
              </w:rPr>
              <w:t>models</w:t>
            </w:r>
            <w:r w:rsidR="00B820DB">
              <w:rPr>
                <w:rStyle w:val="A4"/>
              </w:rPr>
              <w:t xml:space="preserve"> of severe asthma</w:t>
            </w:r>
            <w:r w:rsidR="00C60CA8">
              <w:rPr>
                <w:rStyle w:val="A4"/>
              </w:rPr>
              <w:t>.</w:t>
            </w:r>
          </w:p>
          <w:p w14:paraId="1AD49CBF" w14:textId="77777777" w:rsidR="0067042D" w:rsidRDefault="0067042D" w:rsidP="000A28E2">
            <w:pPr>
              <w:pStyle w:val="Pa12"/>
              <w:rPr>
                <w:rStyle w:val="A4"/>
                <w:b/>
                <w:bCs/>
              </w:rPr>
            </w:pPr>
          </w:p>
          <w:p w14:paraId="1B39336E" w14:textId="3F42D274" w:rsidR="001564A4" w:rsidRPr="0067042D" w:rsidRDefault="001564A4" w:rsidP="0067042D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67042D">
              <w:rPr>
                <w:rStyle w:val="A4"/>
              </w:rPr>
              <w:t>Primary human bronchial epithelial cells (</w:t>
            </w:r>
            <w:proofErr w:type="spellStart"/>
            <w:r w:rsidR="0067042D">
              <w:rPr>
                <w:rStyle w:val="A4"/>
              </w:rPr>
              <w:t>pBECs</w:t>
            </w:r>
            <w:proofErr w:type="spellEnd"/>
            <w:r w:rsidR="0067042D">
              <w:rPr>
                <w:rStyle w:val="A4"/>
              </w:rPr>
              <w:t>)</w:t>
            </w:r>
            <w:r w:rsidR="0067042D">
              <w:t xml:space="preserve"> were treated </w:t>
            </w:r>
            <w:r w:rsidR="0067042D" w:rsidRPr="0067042D">
              <w:rPr>
                <w:rStyle w:val="A4"/>
              </w:rPr>
              <w:t xml:space="preserve">with a </w:t>
            </w:r>
            <w:r w:rsidR="00FC1232">
              <w:rPr>
                <w:rStyle w:val="A4"/>
              </w:rPr>
              <w:t xml:space="preserve">Th1/17 </w:t>
            </w:r>
            <w:r w:rsidR="0067042D" w:rsidRPr="0067042D">
              <w:rPr>
                <w:rStyle w:val="A4"/>
              </w:rPr>
              <w:t>cytokine mix 10ng/mL</w:t>
            </w:r>
            <w:r w:rsidR="00841DD0">
              <w:rPr>
                <w:rStyle w:val="A4"/>
              </w:rPr>
              <w:t xml:space="preserve"> </w:t>
            </w:r>
            <w:r w:rsidR="0067042D" w:rsidRPr="0067042D">
              <w:rPr>
                <w:rStyle w:val="A4"/>
              </w:rPr>
              <w:t xml:space="preserve">IL-17A, 5ng/mL IFN-ɣ and 1ng/mL TNF-α </w:t>
            </w:r>
            <w:r w:rsidR="0067042D">
              <w:rPr>
                <w:rStyle w:val="A4"/>
              </w:rPr>
              <w:t>for 48</w:t>
            </w:r>
            <w:r w:rsidR="001C3ED3">
              <w:rPr>
                <w:rStyle w:val="A4"/>
              </w:rPr>
              <w:t>hrs to induce steroid insensitivity</w:t>
            </w:r>
            <w:r w:rsidR="00B643F8">
              <w:rPr>
                <w:rStyle w:val="A4"/>
              </w:rPr>
              <w:t>(n=3)</w:t>
            </w:r>
            <w:r w:rsidR="001C3ED3">
              <w:rPr>
                <w:rStyle w:val="A4"/>
              </w:rPr>
              <w:t xml:space="preserve">. Cells were </w:t>
            </w:r>
            <w:r w:rsidR="00783CDF">
              <w:rPr>
                <w:rStyle w:val="A4"/>
              </w:rPr>
              <w:t xml:space="preserve">then treated </w:t>
            </w:r>
            <w:r w:rsidR="00783CDF" w:rsidRPr="00783CDF">
              <w:rPr>
                <w:rStyle w:val="A4"/>
              </w:rPr>
              <w:t>with 100nM dexamethasone</w:t>
            </w:r>
            <w:r w:rsidR="00FC1232">
              <w:rPr>
                <w:rStyle w:val="A4"/>
              </w:rPr>
              <w:t xml:space="preserve"> (Dexa)</w:t>
            </w:r>
            <w:r w:rsidR="00783CDF" w:rsidRPr="00783CDF">
              <w:rPr>
                <w:rStyle w:val="A4"/>
              </w:rPr>
              <w:t xml:space="preserve"> with or without </w:t>
            </w:r>
            <w:r w:rsidR="0063263E">
              <w:rPr>
                <w:rStyle w:val="A4"/>
              </w:rPr>
              <w:t>chaperone (</w:t>
            </w:r>
            <w:r w:rsidR="00783CDF" w:rsidRPr="00783CDF">
              <w:rPr>
                <w:rStyle w:val="A4"/>
              </w:rPr>
              <w:t>2mM 4-PBA</w:t>
            </w:r>
            <w:r w:rsidR="0063263E">
              <w:rPr>
                <w:rStyle w:val="A4"/>
              </w:rPr>
              <w:t>)</w:t>
            </w:r>
            <w:r w:rsidR="00783CDF" w:rsidRPr="00783CDF">
              <w:rPr>
                <w:rStyle w:val="A4"/>
              </w:rPr>
              <w:t xml:space="preserve"> for 12hrs</w:t>
            </w:r>
            <w:r w:rsidR="00783CDF">
              <w:rPr>
                <w:rStyle w:val="A4"/>
              </w:rPr>
              <w:t>.  T</w:t>
            </w:r>
            <w:r w:rsidR="0067042D" w:rsidRPr="0067042D">
              <w:rPr>
                <w:rStyle w:val="A4"/>
              </w:rPr>
              <w:t>he expression of canonical corticosteroid-responsive genes</w:t>
            </w:r>
            <w:r w:rsidR="00783CDF">
              <w:rPr>
                <w:rStyle w:val="A4"/>
              </w:rPr>
              <w:t xml:space="preserve"> and pro-inflammatory genes </w:t>
            </w:r>
            <w:r w:rsidR="00FC1232">
              <w:rPr>
                <w:rStyle w:val="A4"/>
              </w:rPr>
              <w:t>was</w:t>
            </w:r>
            <w:r w:rsidR="00783CDF">
              <w:rPr>
                <w:rStyle w:val="A4"/>
              </w:rPr>
              <w:t xml:space="preserve"> measured</w:t>
            </w:r>
            <w:r w:rsidR="001C3ED3">
              <w:rPr>
                <w:rStyle w:val="A4"/>
              </w:rPr>
              <w:t xml:space="preserve"> by qPCR</w:t>
            </w:r>
            <w:r w:rsidR="00783CDF">
              <w:rPr>
                <w:rStyle w:val="A4"/>
              </w:rPr>
              <w:t xml:space="preserve">. To demonstrate that protein misfolding directly </w:t>
            </w:r>
            <w:r w:rsidR="001C3ED3">
              <w:rPr>
                <w:rStyle w:val="A4"/>
              </w:rPr>
              <w:t>interferes</w:t>
            </w:r>
            <w:r w:rsidR="00783CDF">
              <w:rPr>
                <w:rStyle w:val="A4"/>
              </w:rPr>
              <w:t xml:space="preserve"> </w:t>
            </w:r>
            <w:r w:rsidR="001C3ED3">
              <w:rPr>
                <w:rStyle w:val="A4"/>
              </w:rPr>
              <w:t xml:space="preserve">the steroid responsiveness, </w:t>
            </w:r>
            <w:proofErr w:type="spellStart"/>
            <w:r w:rsidR="001C3ED3">
              <w:rPr>
                <w:rStyle w:val="A4"/>
              </w:rPr>
              <w:t>pBECs</w:t>
            </w:r>
            <w:proofErr w:type="spellEnd"/>
            <w:r w:rsidR="001C3ED3">
              <w:rPr>
                <w:rStyle w:val="A4"/>
              </w:rPr>
              <w:t xml:space="preserve"> were treated with </w:t>
            </w:r>
            <w:r w:rsidR="001C3ED3" w:rsidRPr="001C3ED3">
              <w:rPr>
                <w:rStyle w:val="A4"/>
              </w:rPr>
              <w:t xml:space="preserve">ERS inducers; 2ug/mL tunicamycin or 1mM </w:t>
            </w:r>
            <w:proofErr w:type="spellStart"/>
            <w:r w:rsidR="001C3ED3" w:rsidRPr="001C3ED3">
              <w:rPr>
                <w:rStyle w:val="A4"/>
              </w:rPr>
              <w:t>thapsigargin</w:t>
            </w:r>
            <w:proofErr w:type="spellEnd"/>
            <w:r w:rsidR="001C3ED3">
              <w:rPr>
                <w:rStyle w:val="A4"/>
              </w:rPr>
              <w:t xml:space="preserve"> with or without </w:t>
            </w:r>
            <w:r w:rsidR="00FC1232">
              <w:rPr>
                <w:rStyle w:val="A4"/>
              </w:rPr>
              <w:t>D</w:t>
            </w:r>
            <w:r w:rsidR="001C3ED3">
              <w:rPr>
                <w:rStyle w:val="A4"/>
              </w:rPr>
              <w:t>ex</w:t>
            </w:r>
            <w:r w:rsidR="00FC1232">
              <w:rPr>
                <w:rStyle w:val="A4"/>
              </w:rPr>
              <w:t>a</w:t>
            </w:r>
            <w:r w:rsidR="00B643F8">
              <w:rPr>
                <w:rStyle w:val="A4"/>
              </w:rPr>
              <w:t xml:space="preserve"> and steroid responsive genes expression was measured.</w:t>
            </w:r>
            <w:r w:rsidR="001C3ED3">
              <w:rPr>
                <w:rStyle w:val="A4"/>
              </w:rPr>
              <w:t xml:space="preserve"> </w:t>
            </w:r>
            <w:r w:rsidR="00FC1232">
              <w:rPr>
                <w:rStyle w:val="A4"/>
              </w:rPr>
              <w:t>I</w:t>
            </w:r>
            <w:r w:rsidR="000C4073" w:rsidRPr="000C4073">
              <w:rPr>
                <w:rStyle w:val="A4"/>
              </w:rPr>
              <w:t>nfection-induced severe, steroid-resistant (SSR) asthma</w:t>
            </w:r>
            <w:r w:rsidR="000C4073">
              <w:rPr>
                <w:rStyle w:val="A4"/>
              </w:rPr>
              <w:t xml:space="preserve"> mice model (Chlamydia and OVA) was also treated with </w:t>
            </w:r>
            <w:r w:rsidR="00FC1232">
              <w:rPr>
                <w:rStyle w:val="A4"/>
              </w:rPr>
              <w:t>Dex</w:t>
            </w:r>
            <w:r w:rsidR="00586065">
              <w:rPr>
                <w:rStyle w:val="A4"/>
              </w:rPr>
              <w:t>a</w:t>
            </w:r>
            <w:r w:rsidR="000C4073">
              <w:rPr>
                <w:rStyle w:val="A4"/>
              </w:rPr>
              <w:t xml:space="preserve"> with or without 4-PBA and </w:t>
            </w:r>
            <w:r w:rsidR="003D4C84">
              <w:rPr>
                <w:rStyle w:val="A4"/>
              </w:rPr>
              <w:t>the inflammation and airway hyperresponsiveness (AHR) was measured</w:t>
            </w:r>
            <w:r w:rsidR="00B643F8">
              <w:rPr>
                <w:rStyle w:val="A4"/>
              </w:rPr>
              <w:t>(n=5)</w:t>
            </w:r>
            <w:r w:rsidR="003D4C84">
              <w:rPr>
                <w:rStyle w:val="A4"/>
              </w:rPr>
              <w:t>.</w:t>
            </w:r>
          </w:p>
          <w:p w14:paraId="6BF3F094" w14:textId="1AAA1B88" w:rsidR="001564A4" w:rsidRDefault="001564A4" w:rsidP="00B02E13">
            <w:pPr>
              <w:pStyle w:val="Pa12"/>
              <w:jc w:val="both"/>
              <w:rPr>
                <w:rStyle w:val="A4"/>
              </w:rPr>
            </w:pPr>
            <w:r>
              <w:rPr>
                <w:sz w:val="22"/>
                <w:szCs w:val="22"/>
              </w:rPr>
              <w:br/>
            </w:r>
            <w:r w:rsidRPr="0050053A">
              <w:rPr>
                <w:rStyle w:val="A4"/>
                <w:b/>
                <w:bCs/>
              </w:rPr>
              <w:t xml:space="preserve">Results: </w:t>
            </w:r>
            <w:r w:rsidR="009D71B8">
              <w:rPr>
                <w:rStyle w:val="A4"/>
              </w:rPr>
              <w:t xml:space="preserve">Th1/17 cytokine mix significantly </w:t>
            </w:r>
            <w:r w:rsidR="00B820DB">
              <w:rPr>
                <w:rStyle w:val="A4"/>
              </w:rPr>
              <w:t>downregulated</w:t>
            </w:r>
            <w:r w:rsidR="009D71B8">
              <w:rPr>
                <w:rStyle w:val="A4"/>
              </w:rPr>
              <w:t xml:space="preserve"> s</w:t>
            </w:r>
            <w:r w:rsidR="00B02E13">
              <w:rPr>
                <w:rStyle w:val="A4"/>
              </w:rPr>
              <w:t xml:space="preserve">teroid-responsive </w:t>
            </w:r>
            <w:r w:rsidR="00B02E13" w:rsidRPr="00B02E13">
              <w:rPr>
                <w:rStyle w:val="A4"/>
              </w:rPr>
              <w:t>HSD11B2 and FKBP5</w:t>
            </w:r>
            <w:r w:rsidR="00E26405">
              <w:rPr>
                <w:rStyle w:val="A4"/>
              </w:rPr>
              <w:t xml:space="preserve"> (p=0.04)</w:t>
            </w:r>
            <w:r w:rsidR="00B02E13">
              <w:rPr>
                <w:rStyle w:val="A4"/>
              </w:rPr>
              <w:t xml:space="preserve"> genes</w:t>
            </w:r>
            <w:r w:rsidR="009D71B8">
              <w:rPr>
                <w:rStyle w:val="A4"/>
              </w:rPr>
              <w:t xml:space="preserve"> and </w:t>
            </w:r>
            <w:r w:rsidR="00B820DB">
              <w:rPr>
                <w:rStyle w:val="A4"/>
              </w:rPr>
              <w:t xml:space="preserve">upregulated </w:t>
            </w:r>
            <w:r w:rsidR="009D71B8">
              <w:rPr>
                <w:rStyle w:val="A4"/>
              </w:rPr>
              <w:t>proinflammatory IL-6 and IL1β genes</w:t>
            </w:r>
            <w:r w:rsidR="00841DD0">
              <w:rPr>
                <w:rStyle w:val="A4"/>
              </w:rPr>
              <w:t xml:space="preserve"> (p=0.02)</w:t>
            </w:r>
            <w:r w:rsidR="009D71B8">
              <w:rPr>
                <w:rStyle w:val="A4"/>
              </w:rPr>
              <w:t xml:space="preserve">. </w:t>
            </w:r>
            <w:r w:rsidR="00B02E13">
              <w:rPr>
                <w:rStyle w:val="A4"/>
              </w:rPr>
              <w:t xml:space="preserve">Dexamethasone alone did not </w:t>
            </w:r>
            <w:r w:rsidR="009D71B8">
              <w:rPr>
                <w:rStyle w:val="A4"/>
              </w:rPr>
              <w:t xml:space="preserve">change </w:t>
            </w:r>
            <w:r w:rsidR="00B02E13">
              <w:rPr>
                <w:rStyle w:val="A4"/>
              </w:rPr>
              <w:t xml:space="preserve">these gene expressions. </w:t>
            </w:r>
            <w:r w:rsidR="004C1EC3">
              <w:rPr>
                <w:rStyle w:val="A4"/>
              </w:rPr>
              <w:t>Interestingly</w:t>
            </w:r>
            <w:r w:rsidR="003D4C84">
              <w:rPr>
                <w:rStyle w:val="A4"/>
              </w:rPr>
              <w:t xml:space="preserve">, </w:t>
            </w:r>
            <w:r w:rsidR="00FC1232">
              <w:rPr>
                <w:rStyle w:val="A4"/>
              </w:rPr>
              <w:t>Dexa</w:t>
            </w:r>
            <w:r w:rsidR="00B02E13">
              <w:rPr>
                <w:rStyle w:val="A4"/>
              </w:rPr>
              <w:t xml:space="preserve"> together with </w:t>
            </w:r>
            <w:r w:rsidR="00FC1232">
              <w:rPr>
                <w:rStyle w:val="A4"/>
              </w:rPr>
              <w:t>4-PBA</w:t>
            </w:r>
            <w:r w:rsidR="0063263E">
              <w:rPr>
                <w:rStyle w:val="A4"/>
              </w:rPr>
              <w:t xml:space="preserve"> significantly upregulated the expression of steroid-responsive genes</w:t>
            </w:r>
            <w:r w:rsidR="00E26405">
              <w:rPr>
                <w:rStyle w:val="A4"/>
              </w:rPr>
              <w:t xml:space="preserve"> (p=0.0023) </w:t>
            </w:r>
            <w:r w:rsidR="009D71B8">
              <w:rPr>
                <w:rStyle w:val="A4"/>
              </w:rPr>
              <w:t>and downregulated proinflammatory genes</w:t>
            </w:r>
            <w:r w:rsidR="00E26405">
              <w:rPr>
                <w:rStyle w:val="A4"/>
              </w:rPr>
              <w:t>(p=0.02)</w:t>
            </w:r>
            <w:r w:rsidR="0063263E">
              <w:rPr>
                <w:rStyle w:val="A4"/>
              </w:rPr>
              <w:t xml:space="preserve">. </w:t>
            </w:r>
            <w:r w:rsidR="003D4C84">
              <w:rPr>
                <w:rStyle w:val="A4"/>
              </w:rPr>
              <w:t xml:space="preserve">ER stress inducers </w:t>
            </w:r>
            <w:r w:rsidR="009D71B8">
              <w:rPr>
                <w:rStyle w:val="A4"/>
              </w:rPr>
              <w:t xml:space="preserve">also </w:t>
            </w:r>
            <w:r w:rsidR="003D4C84">
              <w:rPr>
                <w:rStyle w:val="A4"/>
              </w:rPr>
              <w:t xml:space="preserve">significantly downregulated </w:t>
            </w:r>
            <w:r w:rsidR="004C1EC3">
              <w:rPr>
                <w:rStyle w:val="A4"/>
              </w:rPr>
              <w:t>steroid-responsive genes</w:t>
            </w:r>
            <w:r w:rsidR="00841DD0">
              <w:rPr>
                <w:rStyle w:val="A4"/>
              </w:rPr>
              <w:t>(p=0.002)</w:t>
            </w:r>
            <w:r w:rsidR="003D4C84">
              <w:rPr>
                <w:rStyle w:val="A4"/>
              </w:rPr>
              <w:t xml:space="preserve">. In our </w:t>
            </w:r>
            <w:r w:rsidR="00B820DB">
              <w:rPr>
                <w:rStyle w:val="A4"/>
              </w:rPr>
              <w:t xml:space="preserve">steroid-resistant </w:t>
            </w:r>
            <w:r w:rsidR="003D4C84">
              <w:rPr>
                <w:rStyle w:val="A4"/>
              </w:rPr>
              <w:t>m</w:t>
            </w:r>
            <w:r w:rsidR="00B820DB">
              <w:rPr>
                <w:rStyle w:val="A4"/>
              </w:rPr>
              <w:t>ouse</w:t>
            </w:r>
            <w:r w:rsidR="003D4C84">
              <w:rPr>
                <w:rStyle w:val="A4"/>
              </w:rPr>
              <w:t xml:space="preserve"> model, dexamethasone together with 4-PBA significantly reduced both airway inflammation</w:t>
            </w:r>
            <w:r w:rsidR="00841DD0">
              <w:rPr>
                <w:rStyle w:val="A4"/>
              </w:rPr>
              <w:t>(p=</w:t>
            </w:r>
            <w:r w:rsidR="00C432BC">
              <w:rPr>
                <w:rStyle w:val="A4"/>
              </w:rPr>
              <w:t>0.01</w:t>
            </w:r>
            <w:r w:rsidR="00841DD0">
              <w:rPr>
                <w:rStyle w:val="A4"/>
              </w:rPr>
              <w:t>)</w:t>
            </w:r>
            <w:r w:rsidR="003D4C84">
              <w:rPr>
                <w:rStyle w:val="A4"/>
              </w:rPr>
              <w:t xml:space="preserve"> and AHR</w:t>
            </w:r>
            <w:r w:rsidR="00841DD0">
              <w:rPr>
                <w:rStyle w:val="A4"/>
              </w:rPr>
              <w:t>(p=</w:t>
            </w:r>
            <w:r w:rsidR="00C432BC">
              <w:rPr>
                <w:rStyle w:val="A4"/>
              </w:rPr>
              <w:t>0.03</w:t>
            </w:r>
            <w:r w:rsidR="00841DD0">
              <w:rPr>
                <w:rStyle w:val="A4"/>
              </w:rPr>
              <w:t>)</w:t>
            </w:r>
            <w:r w:rsidR="00C432BC">
              <w:rPr>
                <w:rStyle w:val="A4"/>
              </w:rPr>
              <w:t xml:space="preserve"> </w:t>
            </w:r>
            <w:r w:rsidR="004C1EC3">
              <w:rPr>
                <w:rStyle w:val="A4"/>
              </w:rPr>
              <w:t>while Dexa alone did not.</w:t>
            </w:r>
          </w:p>
          <w:p w14:paraId="53384749" w14:textId="77777777" w:rsidR="00FC1232" w:rsidRPr="00FC1232" w:rsidRDefault="00FC1232" w:rsidP="00FC1232">
            <w:pPr>
              <w:pStyle w:val="Default"/>
            </w:pPr>
          </w:p>
          <w:p w14:paraId="67E8D8C9" w14:textId="0767D76C" w:rsidR="00FC1232" w:rsidRPr="00FC1232" w:rsidRDefault="00FC1232" w:rsidP="00FC1232">
            <w:pPr>
              <w:pStyle w:val="Default"/>
              <w:jc w:val="both"/>
            </w:pPr>
            <w:r>
              <w:rPr>
                <w:rStyle w:val="A4"/>
                <w:b/>
                <w:bCs/>
              </w:rPr>
              <w:t>Conclusion</w:t>
            </w:r>
            <w:r w:rsidRPr="0050053A">
              <w:rPr>
                <w:rStyle w:val="A4"/>
                <w:b/>
                <w:bCs/>
              </w:rPr>
              <w:t>:</w:t>
            </w:r>
            <w:r w:rsidRPr="00FC1232">
              <w:rPr>
                <w:rStyle w:val="A4"/>
              </w:rPr>
              <w:t xml:space="preserve"> </w:t>
            </w:r>
            <w:r>
              <w:rPr>
                <w:rStyle w:val="A4"/>
              </w:rPr>
              <w:t>Resolving ER-p</w:t>
            </w:r>
            <w:r w:rsidRPr="00FC1232">
              <w:rPr>
                <w:rStyle w:val="A4"/>
              </w:rPr>
              <w:t xml:space="preserve">rotein misfolding </w:t>
            </w:r>
            <w:r>
              <w:rPr>
                <w:rStyle w:val="A4"/>
              </w:rPr>
              <w:t xml:space="preserve">enhances steroid sensitivity in </w:t>
            </w:r>
            <w:r w:rsidR="00B820DB">
              <w:rPr>
                <w:rStyle w:val="A4"/>
              </w:rPr>
              <w:t xml:space="preserve">asthmatic </w:t>
            </w:r>
            <w:r>
              <w:rPr>
                <w:rStyle w:val="A4"/>
              </w:rPr>
              <w:t>airways.</w:t>
            </w:r>
          </w:p>
          <w:p w14:paraId="32A03849" w14:textId="77777777" w:rsidR="00FC1232" w:rsidRDefault="00FC1232" w:rsidP="00FC1232">
            <w:pPr>
              <w:pStyle w:val="Default"/>
            </w:pPr>
          </w:p>
          <w:p w14:paraId="4901F612" w14:textId="77777777" w:rsidR="00FC1232" w:rsidRPr="00FC1232" w:rsidRDefault="00FC1232" w:rsidP="00FC1232">
            <w:pPr>
              <w:pStyle w:val="Default"/>
            </w:pPr>
          </w:p>
          <w:p w14:paraId="0861549B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18F77515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5F58D34F" w14:textId="1F8D1345" w:rsidR="001564A4" w:rsidRPr="0050053A" w:rsidRDefault="001564A4" w:rsidP="00FC1232">
            <w:pPr>
              <w:pStyle w:val="Pa12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AE55" w14:textId="77777777" w:rsidR="00BE33C0" w:rsidRDefault="00BE33C0" w:rsidP="00FC1232">
      <w:r>
        <w:separator/>
      </w:r>
    </w:p>
  </w:endnote>
  <w:endnote w:type="continuationSeparator" w:id="0">
    <w:p w14:paraId="0803D690" w14:textId="77777777" w:rsidR="00BE33C0" w:rsidRDefault="00BE33C0" w:rsidP="00FC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428F" w14:textId="77777777" w:rsidR="00BE33C0" w:rsidRDefault="00BE33C0" w:rsidP="00FC1232">
      <w:r>
        <w:separator/>
      </w:r>
    </w:p>
  </w:footnote>
  <w:footnote w:type="continuationSeparator" w:id="0">
    <w:p w14:paraId="4A3DDF74" w14:textId="77777777" w:rsidR="00BE33C0" w:rsidRDefault="00BE33C0" w:rsidP="00FC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szQ2NjQ3Mje0sDBW0lEKTi0uzszPAykwqQUAb23keywAAAA="/>
  </w:docVars>
  <w:rsids>
    <w:rsidRoot w:val="001564A4"/>
    <w:rsid w:val="0007266E"/>
    <w:rsid w:val="000B13D0"/>
    <w:rsid w:val="000C4073"/>
    <w:rsid w:val="00123670"/>
    <w:rsid w:val="001564A4"/>
    <w:rsid w:val="001C2A9D"/>
    <w:rsid w:val="001C3ED3"/>
    <w:rsid w:val="00232730"/>
    <w:rsid w:val="002B23C5"/>
    <w:rsid w:val="00312844"/>
    <w:rsid w:val="003D4C84"/>
    <w:rsid w:val="003F2BFB"/>
    <w:rsid w:val="00404FD6"/>
    <w:rsid w:val="00405198"/>
    <w:rsid w:val="00490AC5"/>
    <w:rsid w:val="004C1EC3"/>
    <w:rsid w:val="0051574E"/>
    <w:rsid w:val="00536C0E"/>
    <w:rsid w:val="00586065"/>
    <w:rsid w:val="005F350F"/>
    <w:rsid w:val="0063263E"/>
    <w:rsid w:val="0067042D"/>
    <w:rsid w:val="006B2081"/>
    <w:rsid w:val="00783CDF"/>
    <w:rsid w:val="00841DD0"/>
    <w:rsid w:val="008673EB"/>
    <w:rsid w:val="008803FA"/>
    <w:rsid w:val="008E6586"/>
    <w:rsid w:val="009D71B8"/>
    <w:rsid w:val="009F7EAD"/>
    <w:rsid w:val="00B02E13"/>
    <w:rsid w:val="00B0719D"/>
    <w:rsid w:val="00B12E32"/>
    <w:rsid w:val="00B643F8"/>
    <w:rsid w:val="00B74A3A"/>
    <w:rsid w:val="00B820DB"/>
    <w:rsid w:val="00BE33C0"/>
    <w:rsid w:val="00C432BC"/>
    <w:rsid w:val="00C60CA8"/>
    <w:rsid w:val="00DC2E01"/>
    <w:rsid w:val="00E0700F"/>
    <w:rsid w:val="00E26405"/>
    <w:rsid w:val="00FC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HTMLAddress">
    <w:name w:val="HTML Address"/>
    <w:basedOn w:val="Normal"/>
    <w:link w:val="HTMLAddressChar"/>
    <w:uiPriority w:val="99"/>
    <w:unhideWhenUsed/>
    <w:rsid w:val="002B23C5"/>
    <w:rPr>
      <w:i/>
      <w:iCs/>
      <w:lang w:val="en-AU"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rsid w:val="002B23C5"/>
    <w:rPr>
      <w:rFonts w:ascii="Times New Roman" w:eastAsia="Times New Roman" w:hAnsi="Times New Roman" w:cs="Times New Roman"/>
      <w:i/>
      <w:iCs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FC12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23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12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23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2623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Prabuddha Pathinayake</cp:lastModifiedBy>
  <cp:revision>4</cp:revision>
  <dcterms:created xsi:type="dcterms:W3CDTF">2023-10-19T00:30:00Z</dcterms:created>
  <dcterms:modified xsi:type="dcterms:W3CDTF">2023-10-19T02:36:00Z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88f30ae24bbaafd966bac730608bd3a7ec490ae0d62c33357f4ae992c90d024e</vt:lpwstr>
  </property>
</Properties>
</file>