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6E97636" w:rsidR="001564A4" w:rsidRPr="0050053A" w:rsidRDefault="008B427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FPR</w:t>
            </w:r>
            <w:r w:rsidR="00712D50" w:rsidRPr="00712D50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agonist Cmpd17b </w:t>
            </w:r>
            <w:r w:rsidR="00C365EF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induces dilation and </w:t>
            </w:r>
            <w:r w:rsidR="00712D50" w:rsidRPr="00712D50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opposes con</w:t>
            </w:r>
            <w:r w:rsidR="00C365EF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striction</w:t>
            </w:r>
            <w:r w:rsidR="00712D50" w:rsidRPr="00712D50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of pulmonary arteries ex vivo in a preclinical model of pulmonary hypertension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C8D1D18" w:rsidR="001564A4" w:rsidRPr="00413B94" w:rsidRDefault="006523A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William Studley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Chloe Landy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Rebecca Ritchie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Cheng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Xue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Qin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Jane Bourke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8BA3259" w14:textId="121CEDD3" w:rsidR="006523A4" w:rsidRPr="006523A4" w:rsidRDefault="001564A4" w:rsidP="006523A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523A4" w:rsidRPr="006523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23A4" w:rsidRPr="006523A4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Department of Pharmacology, Biomedical Discovery Institute, Monash University</w:t>
            </w:r>
            <w:r w:rsidR="006523A4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, Melbourne, VIC</w:t>
            </w:r>
          </w:p>
          <w:p w14:paraId="45ED36BF" w14:textId="42100B45" w:rsidR="001564A4" w:rsidRPr="0050053A" w:rsidRDefault="001564A4" w:rsidP="006523A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523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6523A4" w:rsidRPr="006523A4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Monash Institute of Pharmaceutical Sciences, Monash University, Melbourne, VIC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6DAF615A" w14:textId="77777777" w:rsidTr="00055E8E">
        <w:trPr>
          <w:trHeight w:hRule="exact" w:val="11227"/>
          <w:jc w:val="center"/>
        </w:trPr>
        <w:tc>
          <w:tcPr>
            <w:tcW w:w="8640" w:type="dxa"/>
            <w:shd w:val="clear" w:color="auto" w:fill="auto"/>
          </w:tcPr>
          <w:p w14:paraId="04C639A9" w14:textId="793E1133" w:rsidR="00A63307" w:rsidRPr="00C365EF" w:rsidRDefault="001564A4" w:rsidP="00C365EF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A63307" w:rsidRPr="008B43C8">
              <w:rPr>
                <w:sz w:val="22"/>
                <w:szCs w:val="22"/>
                <w:lang w:val="en-AU"/>
              </w:rPr>
              <w:t xml:space="preserve">Current treatments for pulmonary hypertension (PH) consist of vasodilators that do not effectively target the vascular remodelling that drives the disease. </w:t>
            </w:r>
            <w:r w:rsidR="00A63307">
              <w:rPr>
                <w:sz w:val="22"/>
                <w:szCs w:val="22"/>
                <w:lang w:val="en-AU"/>
              </w:rPr>
              <w:t>T</w:t>
            </w:r>
            <w:r w:rsidR="00A63307" w:rsidRPr="008B43C8">
              <w:rPr>
                <w:sz w:val="22"/>
                <w:szCs w:val="22"/>
                <w:lang w:val="en-AU"/>
              </w:rPr>
              <w:t>he small molecule formyl peptide receptor (FPR) agonist Cmpd17b dilates arteries and inhibits pro-inflammatory cytokine release from naïve mouse precision-cut lung slices (PCLS), and attenuate</w:t>
            </w:r>
            <w:r w:rsidR="00A63307">
              <w:rPr>
                <w:sz w:val="22"/>
                <w:szCs w:val="22"/>
                <w:lang w:val="en-AU"/>
              </w:rPr>
              <w:t>s</w:t>
            </w:r>
            <w:r w:rsidR="00A63307" w:rsidRPr="008B43C8">
              <w:rPr>
                <w:sz w:val="22"/>
                <w:szCs w:val="22"/>
                <w:lang w:val="en-AU"/>
              </w:rPr>
              <w:t xml:space="preserve"> fibrosis in models of murine cardiac disease and diabetes, offering a potential dual-action therapeutic benefit. Here, the PCLS preparation is utilised to assess vasodilator effects of Cmpd17b in lungs from mice with Sugen/hypoxia-induced pulmonary hypertension </w:t>
            </w:r>
            <w:r w:rsidR="00A63307" w:rsidRPr="008B43C8">
              <w:rPr>
                <w:i/>
                <w:iCs/>
                <w:sz w:val="22"/>
                <w:szCs w:val="22"/>
                <w:lang w:val="en-AU"/>
              </w:rPr>
              <w:t>ex vivo</w:t>
            </w:r>
            <w:r w:rsidR="00A63307" w:rsidRPr="008B43C8">
              <w:rPr>
                <w:sz w:val="22"/>
                <w:szCs w:val="22"/>
                <w:lang w:val="en-AU"/>
              </w:rPr>
              <w:t xml:space="preserve">. </w:t>
            </w:r>
          </w:p>
          <w:p w14:paraId="3D770CF7" w14:textId="79CE8F0A" w:rsidR="001564A4" w:rsidRPr="00A63307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B06AAA1" w14:textId="0753BF43" w:rsidR="007159F7" w:rsidRPr="00C365EF" w:rsidRDefault="001564A4" w:rsidP="00C365EF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A63307" w:rsidRPr="008B43C8">
              <w:rPr>
                <w:sz w:val="22"/>
                <w:szCs w:val="22"/>
                <w:lang w:val="en-GB"/>
              </w:rPr>
              <w:t xml:space="preserve">PH was induced in 9-week-old male C57BL/6J mice via weekly </w:t>
            </w:r>
            <w:proofErr w:type="spellStart"/>
            <w:r w:rsidR="00A63307" w:rsidRPr="008B43C8">
              <w:rPr>
                <w:sz w:val="22"/>
                <w:szCs w:val="22"/>
                <w:lang w:val="en-GB"/>
              </w:rPr>
              <w:t>s.c.</w:t>
            </w:r>
            <w:proofErr w:type="spellEnd"/>
            <w:r w:rsidR="00A63307" w:rsidRPr="008B43C8">
              <w:rPr>
                <w:sz w:val="22"/>
                <w:szCs w:val="22"/>
                <w:lang w:val="en-GB"/>
              </w:rPr>
              <w:t xml:space="preserve"> injections with 20mg/kg Sugen 5416, in addition to 4 weeks of hypoxia (10% O</w:t>
            </w:r>
            <w:r w:rsidR="00A63307" w:rsidRPr="008B43C8">
              <w:rPr>
                <w:sz w:val="22"/>
                <w:szCs w:val="22"/>
                <w:vertAlign w:val="subscript"/>
                <w:lang w:val="en-GB"/>
              </w:rPr>
              <w:t>2</w:t>
            </w:r>
            <w:r w:rsidR="00A63307" w:rsidRPr="008B43C8">
              <w:rPr>
                <w:sz w:val="22"/>
                <w:szCs w:val="22"/>
                <w:lang w:val="en-GB"/>
              </w:rPr>
              <w:t>) exposure (</w:t>
            </w:r>
            <w:proofErr w:type="spellStart"/>
            <w:r w:rsidR="00A63307" w:rsidRPr="008B43C8">
              <w:rPr>
                <w:sz w:val="22"/>
                <w:szCs w:val="22"/>
                <w:lang w:val="en-GB"/>
              </w:rPr>
              <w:t>SuHx</w:t>
            </w:r>
            <w:proofErr w:type="spellEnd"/>
            <w:r w:rsidR="00A63307" w:rsidRPr="008B43C8">
              <w:rPr>
                <w:sz w:val="22"/>
                <w:szCs w:val="22"/>
                <w:lang w:val="en-GB"/>
              </w:rPr>
              <w:t xml:space="preserve">). </w:t>
            </w:r>
            <w:proofErr w:type="spellStart"/>
            <w:r w:rsidR="00A63307" w:rsidRPr="008B43C8">
              <w:rPr>
                <w:sz w:val="22"/>
                <w:szCs w:val="22"/>
                <w:lang w:val="en-GB"/>
              </w:rPr>
              <w:t>Normoxia</w:t>
            </w:r>
            <w:proofErr w:type="spellEnd"/>
            <w:r w:rsidR="00A63307" w:rsidRPr="008B43C8">
              <w:rPr>
                <w:sz w:val="22"/>
                <w:szCs w:val="22"/>
                <w:lang w:val="en-GB"/>
              </w:rPr>
              <w:t xml:space="preserve"> controls (</w:t>
            </w:r>
            <w:proofErr w:type="spellStart"/>
            <w:r w:rsidR="00A63307" w:rsidRPr="008B43C8">
              <w:rPr>
                <w:sz w:val="22"/>
                <w:szCs w:val="22"/>
                <w:lang w:val="en-GB"/>
              </w:rPr>
              <w:t>NmOx</w:t>
            </w:r>
            <w:proofErr w:type="spellEnd"/>
            <w:r w:rsidR="00A63307" w:rsidRPr="008B43C8">
              <w:rPr>
                <w:sz w:val="22"/>
                <w:szCs w:val="22"/>
                <w:lang w:val="en-GB"/>
              </w:rPr>
              <w:t>) were kept at 21% O</w:t>
            </w:r>
            <w:r w:rsidR="00A63307" w:rsidRPr="008B43C8">
              <w:rPr>
                <w:sz w:val="22"/>
                <w:szCs w:val="22"/>
                <w:vertAlign w:val="subscript"/>
                <w:lang w:val="en-GB"/>
              </w:rPr>
              <w:t xml:space="preserve">2 </w:t>
            </w:r>
            <w:r w:rsidR="00A63307" w:rsidRPr="008B43C8">
              <w:rPr>
                <w:sz w:val="22"/>
                <w:szCs w:val="22"/>
                <w:lang w:val="en-GB"/>
              </w:rPr>
              <w:t xml:space="preserve">and administered a vehicle. PCLS </w:t>
            </w:r>
            <w:r w:rsidR="00A63307">
              <w:rPr>
                <w:sz w:val="22"/>
                <w:szCs w:val="22"/>
                <w:lang w:val="en-GB"/>
              </w:rPr>
              <w:t>were sliced at 200</w:t>
            </w:r>
            <w:r w:rsidR="00A63307" w:rsidRPr="008B43C8">
              <w:rPr>
                <w:sz w:val="22"/>
                <w:szCs w:val="22"/>
                <w:lang w:val="en-GB"/>
              </w:rPr>
              <w:t>μm</w:t>
            </w:r>
            <w:r w:rsidR="00A63307">
              <w:rPr>
                <w:sz w:val="22"/>
                <w:szCs w:val="22"/>
                <w:lang w:val="en-GB"/>
              </w:rPr>
              <w:t xml:space="preserve"> thickness.</w:t>
            </w:r>
            <w:r w:rsidR="00A63307" w:rsidRPr="008B43C8">
              <w:rPr>
                <w:sz w:val="22"/>
                <w:szCs w:val="22"/>
                <w:lang w:val="en-GB"/>
              </w:rPr>
              <w:t xml:space="preserve"> Concentration-response (C-R) curves to dilators were performed in intrapulmonary arteries (&lt;150μm diameter), pre-contracted with 3μM 5HT. PCLS were also pre-treated with either 3μM Cmpd17b or vehicle for 10 minutes, before C-R curves to 5HT were performed. Images were captured at the end of each drug </w:t>
            </w:r>
            <w:proofErr w:type="spellStart"/>
            <w:r w:rsidR="00A63307" w:rsidRPr="008B43C8">
              <w:rPr>
                <w:sz w:val="22"/>
                <w:szCs w:val="22"/>
                <w:lang w:val="en-GB"/>
              </w:rPr>
              <w:t>addition</w:t>
            </w:r>
            <w:proofErr w:type="spellEnd"/>
            <w:r w:rsidR="00A63307" w:rsidRPr="008B43C8">
              <w:rPr>
                <w:sz w:val="22"/>
                <w:szCs w:val="22"/>
                <w:lang w:val="en-GB"/>
              </w:rPr>
              <w:t xml:space="preserve"> period and lumen area was measured to calculate level of artery contraction.</w:t>
            </w:r>
            <w:r w:rsidR="00A63307">
              <w:rPr>
                <w:sz w:val="22"/>
                <w:szCs w:val="22"/>
                <w:lang w:val="en-GB"/>
              </w:rPr>
              <w:t xml:space="preserve"> </w:t>
            </w:r>
          </w:p>
          <w:tbl>
            <w:tblPr>
              <w:tblStyle w:val="TableGrid"/>
              <w:tblW w:w="8531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1417"/>
              <w:gridCol w:w="1134"/>
              <w:gridCol w:w="1514"/>
              <w:gridCol w:w="1038"/>
              <w:gridCol w:w="1360"/>
              <w:gridCol w:w="1191"/>
            </w:tblGrid>
            <w:tr w:rsidR="00BC30CD" w:rsidRPr="00533659" w14:paraId="189180B9" w14:textId="77777777" w:rsidTr="00BC30CD">
              <w:trPr>
                <w:trHeight w:val="282"/>
              </w:trPr>
              <w:tc>
                <w:tcPr>
                  <w:tcW w:w="877" w:type="dxa"/>
                  <w:noWrap/>
                  <w:hideMark/>
                </w:tcPr>
                <w:p w14:paraId="35E41D6D" w14:textId="2C2CF083" w:rsidR="007159F7" w:rsidRPr="00533659" w:rsidRDefault="007159F7" w:rsidP="007159F7">
                  <w:pPr>
                    <w:rPr>
                      <w:sz w:val="22"/>
                      <w:szCs w:val="22"/>
                      <w:lang w:val="en-AU"/>
                    </w:rPr>
                  </w:pPr>
                </w:p>
              </w:tc>
              <w:tc>
                <w:tcPr>
                  <w:tcW w:w="2551" w:type="dxa"/>
                  <w:gridSpan w:val="2"/>
                  <w:noWrap/>
                  <w:hideMark/>
                </w:tcPr>
                <w:p w14:paraId="0B49B691" w14:textId="4B418DEA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Dilation to Cmpd17b</w:t>
                  </w:r>
                  <w:r w:rsidR="00BC30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(n=6)</w:t>
                  </w:r>
                </w:p>
              </w:tc>
              <w:tc>
                <w:tcPr>
                  <w:tcW w:w="2552" w:type="dxa"/>
                  <w:gridSpan w:val="2"/>
                  <w:noWrap/>
                  <w:hideMark/>
                </w:tcPr>
                <w:p w14:paraId="25ED9598" w14:textId="3A47F28B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Dilation to Sildenafil</w:t>
                  </w:r>
                  <w:r w:rsidR="00BC30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(n=4)</w:t>
                  </w:r>
                </w:p>
              </w:tc>
              <w:tc>
                <w:tcPr>
                  <w:tcW w:w="2551" w:type="dxa"/>
                  <w:gridSpan w:val="2"/>
                  <w:noWrap/>
                  <w:hideMark/>
                </w:tcPr>
                <w:p w14:paraId="2690B58C" w14:textId="42132E9F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Contraction to 5-HT</w:t>
                  </w:r>
                  <w:r w:rsidR="00BC30CD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(n=6)</w:t>
                  </w:r>
                </w:p>
              </w:tc>
            </w:tr>
            <w:tr w:rsidR="007159F7" w:rsidRPr="00533659" w14:paraId="4A889A9B" w14:textId="77777777" w:rsidTr="00BC30CD">
              <w:trPr>
                <w:trHeight w:val="317"/>
              </w:trPr>
              <w:tc>
                <w:tcPr>
                  <w:tcW w:w="877" w:type="dxa"/>
                  <w:noWrap/>
                  <w:hideMark/>
                </w:tcPr>
                <w:p w14:paraId="2103E9EA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noWrap/>
                  <w:hideMark/>
                </w:tcPr>
                <w:p w14:paraId="2E316C08" w14:textId="5FDA5068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Fitted Max</w:t>
                  </w:r>
                  <w:r w:rsidR="00533659"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(%)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14:paraId="390A4753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pEC</w:t>
                  </w: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  <w:tc>
                <w:tcPr>
                  <w:tcW w:w="1514" w:type="dxa"/>
                  <w:noWrap/>
                  <w:hideMark/>
                </w:tcPr>
                <w:p w14:paraId="5A5EFB84" w14:textId="28E5BE7A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Fitted Max</w:t>
                  </w:r>
                  <w:r w:rsidR="00533659"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33659"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1038" w:type="dxa"/>
                  <w:noWrap/>
                  <w:hideMark/>
                </w:tcPr>
                <w:p w14:paraId="08E3D1EB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pEC</w:t>
                  </w: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  <w:tc>
                <w:tcPr>
                  <w:tcW w:w="1360" w:type="dxa"/>
                  <w:noWrap/>
                  <w:hideMark/>
                </w:tcPr>
                <w:p w14:paraId="26F8EB7B" w14:textId="0DDD582D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Fitted Max</w:t>
                  </w:r>
                  <w:r w:rsidR="00533659"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33659"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1191" w:type="dxa"/>
                  <w:noWrap/>
                  <w:hideMark/>
                </w:tcPr>
                <w:p w14:paraId="366E8F9F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pEC</w:t>
                  </w:r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bscript"/>
                    </w:rPr>
                    <w:t>50</w:t>
                  </w:r>
                </w:p>
              </w:tc>
            </w:tr>
            <w:tr w:rsidR="007159F7" w:rsidRPr="00533659" w14:paraId="3C62285B" w14:textId="77777777" w:rsidTr="00BC30CD">
              <w:trPr>
                <w:trHeight w:val="282"/>
              </w:trPr>
              <w:tc>
                <w:tcPr>
                  <w:tcW w:w="877" w:type="dxa"/>
                  <w:noWrap/>
                  <w:hideMark/>
                </w:tcPr>
                <w:p w14:paraId="75A00FF6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NmOx</w:t>
                  </w:r>
                  <w:proofErr w:type="spellEnd"/>
                </w:p>
              </w:tc>
              <w:tc>
                <w:tcPr>
                  <w:tcW w:w="1417" w:type="dxa"/>
                  <w:noWrap/>
                  <w:hideMark/>
                </w:tcPr>
                <w:p w14:paraId="1891408A" w14:textId="27AACB81" w:rsidR="007159F7" w:rsidRPr="00533659" w:rsidRDefault="007159F7" w:rsidP="007159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90 ± 8</w:t>
                  </w:r>
                  <w:r w:rsidR="00BC30C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14:paraId="17659E77" w14:textId="77777777" w:rsidR="007159F7" w:rsidRPr="00533659" w:rsidRDefault="007159F7" w:rsidP="007159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6.1 ± 0.3</w:t>
                  </w:r>
                </w:p>
              </w:tc>
              <w:tc>
                <w:tcPr>
                  <w:tcW w:w="1514" w:type="dxa"/>
                  <w:noWrap/>
                  <w:hideMark/>
                </w:tcPr>
                <w:p w14:paraId="307CF4C7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 ± 2</w:t>
                  </w:r>
                </w:p>
              </w:tc>
              <w:tc>
                <w:tcPr>
                  <w:tcW w:w="1038" w:type="dxa"/>
                  <w:noWrap/>
                  <w:hideMark/>
                </w:tcPr>
                <w:p w14:paraId="44C73CF3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4.5 ± 0.2</w:t>
                  </w:r>
                </w:p>
              </w:tc>
              <w:tc>
                <w:tcPr>
                  <w:tcW w:w="1360" w:type="dxa"/>
                  <w:noWrap/>
                  <w:hideMark/>
                </w:tcPr>
                <w:p w14:paraId="2A7A1B22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 ± 2</w:t>
                  </w:r>
                </w:p>
              </w:tc>
              <w:tc>
                <w:tcPr>
                  <w:tcW w:w="1191" w:type="dxa"/>
                  <w:noWrap/>
                  <w:hideMark/>
                </w:tcPr>
                <w:p w14:paraId="296FAD90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6.5 ± 0.2</w:t>
                  </w:r>
                </w:p>
              </w:tc>
            </w:tr>
            <w:tr w:rsidR="007159F7" w:rsidRPr="00533659" w14:paraId="1A95C6CF" w14:textId="77777777" w:rsidTr="00BC30CD">
              <w:trPr>
                <w:trHeight w:val="282"/>
              </w:trPr>
              <w:tc>
                <w:tcPr>
                  <w:tcW w:w="877" w:type="dxa"/>
                  <w:noWrap/>
                  <w:hideMark/>
                </w:tcPr>
                <w:p w14:paraId="1CB309FF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3365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SuHx</w:t>
                  </w:r>
                  <w:proofErr w:type="spellEnd"/>
                </w:p>
              </w:tc>
              <w:tc>
                <w:tcPr>
                  <w:tcW w:w="1417" w:type="dxa"/>
                  <w:noWrap/>
                  <w:hideMark/>
                </w:tcPr>
                <w:p w14:paraId="1B93346F" w14:textId="77777777" w:rsidR="007159F7" w:rsidRPr="00533659" w:rsidRDefault="007159F7" w:rsidP="007159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98 ± 1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14:paraId="794F5406" w14:textId="77777777" w:rsidR="007159F7" w:rsidRPr="00533659" w:rsidRDefault="007159F7" w:rsidP="007159F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7.8 ± 0.8</w:t>
                  </w:r>
                </w:p>
              </w:tc>
              <w:tc>
                <w:tcPr>
                  <w:tcW w:w="1514" w:type="dxa"/>
                  <w:noWrap/>
                  <w:hideMark/>
                </w:tcPr>
                <w:p w14:paraId="735751E1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 ± 2</w:t>
                  </w:r>
                </w:p>
              </w:tc>
              <w:tc>
                <w:tcPr>
                  <w:tcW w:w="1038" w:type="dxa"/>
                  <w:noWrap/>
                  <w:hideMark/>
                </w:tcPr>
                <w:p w14:paraId="77ED0D8F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5.0 ± 0.5</w:t>
                  </w:r>
                </w:p>
              </w:tc>
              <w:tc>
                <w:tcPr>
                  <w:tcW w:w="1360" w:type="dxa"/>
                  <w:noWrap/>
                  <w:hideMark/>
                </w:tcPr>
                <w:p w14:paraId="5C2E2BA5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 ± 7</w:t>
                  </w:r>
                </w:p>
              </w:tc>
              <w:tc>
                <w:tcPr>
                  <w:tcW w:w="1191" w:type="dxa"/>
                  <w:noWrap/>
                  <w:hideMark/>
                </w:tcPr>
                <w:p w14:paraId="724D4D27" w14:textId="77777777" w:rsidR="007159F7" w:rsidRPr="00533659" w:rsidRDefault="007159F7" w:rsidP="007159F7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3365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6.0 ± 0.2</w:t>
                  </w:r>
                </w:p>
              </w:tc>
            </w:tr>
          </w:tbl>
          <w:p w14:paraId="6F556AA4" w14:textId="77777777" w:rsidR="007159F7" w:rsidRPr="007159F7" w:rsidRDefault="007159F7" w:rsidP="007159F7">
            <w:pPr>
              <w:pStyle w:val="Default"/>
            </w:pPr>
          </w:p>
          <w:p w14:paraId="04B97F7C" w14:textId="489C1A53" w:rsidR="00A63307" w:rsidRPr="00295155" w:rsidRDefault="001564A4" w:rsidP="00C365EF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A63307" w:rsidRPr="00295155">
              <w:rPr>
                <w:sz w:val="22"/>
                <w:szCs w:val="22"/>
                <w:lang w:val="en-GB"/>
              </w:rPr>
              <w:t>Cmpd17b</w:t>
            </w:r>
            <w:r w:rsidR="00A63307">
              <w:rPr>
                <w:sz w:val="22"/>
                <w:szCs w:val="22"/>
                <w:lang w:val="en-GB"/>
              </w:rPr>
              <w:t xml:space="preserve"> and sildenafil</w:t>
            </w:r>
            <w:r w:rsidR="00A63307" w:rsidRPr="00295155">
              <w:rPr>
                <w:sz w:val="22"/>
                <w:szCs w:val="22"/>
                <w:lang w:val="en-GB"/>
              </w:rPr>
              <w:t xml:space="preserve"> elicited complete vasodilation in both </w:t>
            </w:r>
            <w:proofErr w:type="spellStart"/>
            <w:r w:rsidR="00A63307" w:rsidRPr="00295155">
              <w:rPr>
                <w:sz w:val="22"/>
                <w:szCs w:val="22"/>
                <w:lang w:val="en-GB"/>
              </w:rPr>
              <w:t>NmOx</w:t>
            </w:r>
            <w:proofErr w:type="spellEnd"/>
            <w:r w:rsidR="00A63307" w:rsidRPr="00295155">
              <w:rPr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A63307" w:rsidRPr="00295155">
              <w:rPr>
                <w:sz w:val="22"/>
                <w:szCs w:val="22"/>
                <w:lang w:val="en-GB"/>
              </w:rPr>
              <w:t>SuHx</w:t>
            </w:r>
            <w:proofErr w:type="spellEnd"/>
            <w:r w:rsidR="00A63307" w:rsidRPr="00295155">
              <w:rPr>
                <w:sz w:val="22"/>
                <w:szCs w:val="22"/>
                <w:lang w:val="en-GB"/>
              </w:rPr>
              <w:t xml:space="preserve"> PCLS, with similar efficacy and potency</w:t>
            </w:r>
            <w:r w:rsidR="00A63307">
              <w:rPr>
                <w:sz w:val="22"/>
                <w:szCs w:val="22"/>
                <w:lang w:val="en-GB"/>
              </w:rPr>
              <w:t xml:space="preserve"> between groups</w:t>
            </w:r>
            <w:r w:rsidR="00A63307" w:rsidRPr="00295155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="00A63307" w:rsidRPr="00295155">
              <w:rPr>
                <w:sz w:val="22"/>
                <w:szCs w:val="22"/>
                <w:lang w:val="en-GB"/>
              </w:rPr>
              <w:t>SuHx</w:t>
            </w:r>
            <w:proofErr w:type="spellEnd"/>
            <w:r w:rsidR="00A63307" w:rsidRPr="00295155">
              <w:rPr>
                <w:sz w:val="22"/>
                <w:szCs w:val="22"/>
                <w:lang w:val="en-GB"/>
              </w:rPr>
              <w:t xml:space="preserve"> did not alter 5HT-mediated contraction. In the presence of 3μM Cmpd17b, the concentration-response to serotonin was completely abolished in both </w:t>
            </w:r>
            <w:proofErr w:type="spellStart"/>
            <w:r w:rsidR="00A63307" w:rsidRPr="00295155">
              <w:rPr>
                <w:sz w:val="22"/>
                <w:szCs w:val="22"/>
                <w:lang w:val="en-GB"/>
              </w:rPr>
              <w:t>SuHx</w:t>
            </w:r>
            <w:proofErr w:type="spellEnd"/>
            <w:r w:rsidR="00A63307" w:rsidRPr="00295155">
              <w:rPr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A63307" w:rsidRPr="00295155">
              <w:rPr>
                <w:sz w:val="22"/>
                <w:szCs w:val="22"/>
                <w:lang w:val="en-GB"/>
              </w:rPr>
              <w:t>NmOx</w:t>
            </w:r>
            <w:proofErr w:type="spellEnd"/>
            <w:r w:rsidR="00A63307" w:rsidRPr="00295155">
              <w:rPr>
                <w:sz w:val="22"/>
                <w:szCs w:val="22"/>
                <w:lang w:val="en-GB"/>
              </w:rPr>
              <w:t xml:space="preserve"> mice</w:t>
            </w:r>
            <w:r w:rsidR="00A63307">
              <w:rPr>
                <w:sz w:val="22"/>
                <w:szCs w:val="22"/>
                <w:lang w:val="en-GB"/>
              </w:rPr>
              <w:t>, hence efficacy and potency could not be calculated</w:t>
            </w:r>
            <w:r w:rsidR="00A63307" w:rsidRPr="00295155">
              <w:rPr>
                <w:sz w:val="22"/>
                <w:szCs w:val="22"/>
                <w:lang w:val="en-GB"/>
              </w:rPr>
              <w:t xml:space="preserve">. </w:t>
            </w:r>
            <w:r w:rsidR="00BC30CD">
              <w:rPr>
                <w:sz w:val="22"/>
                <w:szCs w:val="22"/>
                <w:lang w:val="en-GB"/>
              </w:rPr>
              <w:t xml:space="preserve">Statistics reported as mean </w:t>
            </w:r>
            <w:r w:rsidR="00BC30CD" w:rsidRPr="00533659">
              <w:rPr>
                <w:color w:val="000000"/>
                <w:sz w:val="22"/>
                <w:szCs w:val="22"/>
                <w:lang w:val="en-GB"/>
              </w:rPr>
              <w:t>±</w:t>
            </w:r>
            <w:r w:rsidR="00BC30CD">
              <w:rPr>
                <w:color w:val="000000"/>
                <w:sz w:val="22"/>
                <w:szCs w:val="22"/>
                <w:lang w:val="en-GB"/>
              </w:rPr>
              <w:t xml:space="preserve"> SEM.</w:t>
            </w:r>
          </w:p>
          <w:p w14:paraId="68537800" w14:textId="20B05EB8" w:rsidR="001564A4" w:rsidRPr="00A63307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96E7BAC" w14:textId="153A6557" w:rsidR="001564A4" w:rsidRPr="00C365EF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A63307" w:rsidRPr="008B43C8">
              <w:rPr>
                <w:sz w:val="22"/>
                <w:szCs w:val="22"/>
                <w:lang w:val="en-AU"/>
              </w:rPr>
              <w:t xml:space="preserve">Cmpd17b-mediated both vasodilation and inhibition of contraction in PCLS from </w:t>
            </w:r>
            <w:proofErr w:type="spellStart"/>
            <w:r w:rsidR="00A63307" w:rsidRPr="008B43C8">
              <w:rPr>
                <w:sz w:val="22"/>
                <w:szCs w:val="22"/>
                <w:lang w:val="en-AU"/>
              </w:rPr>
              <w:t>NmOx</w:t>
            </w:r>
            <w:proofErr w:type="spellEnd"/>
            <w:r w:rsidR="00A63307" w:rsidRPr="008B43C8">
              <w:rPr>
                <w:sz w:val="22"/>
                <w:szCs w:val="22"/>
                <w:lang w:val="en-AU"/>
              </w:rPr>
              <w:t xml:space="preserve"> and </w:t>
            </w:r>
            <w:proofErr w:type="spellStart"/>
            <w:r w:rsidR="00A63307" w:rsidRPr="008B43C8">
              <w:rPr>
                <w:sz w:val="22"/>
                <w:szCs w:val="22"/>
                <w:lang w:val="en-AU"/>
              </w:rPr>
              <w:t>SuHx</w:t>
            </w:r>
            <w:proofErr w:type="spellEnd"/>
            <w:r w:rsidR="00A63307" w:rsidRPr="008B43C8">
              <w:rPr>
                <w:sz w:val="22"/>
                <w:szCs w:val="22"/>
                <w:lang w:val="en-AU"/>
              </w:rPr>
              <w:t xml:space="preserve"> mice, with comparable potency and efficacy to sildenafil. These results support the development of FPR-based therapy against excessive pulmonary artery contraction and vascular remodelling</w:t>
            </w:r>
            <w:r w:rsidR="00A63307" w:rsidRPr="008B43C8">
              <w:rPr>
                <w:sz w:val="22"/>
                <w:szCs w:val="22"/>
                <w:lang w:val="en-AU"/>
              </w:rPr>
              <w:t xml:space="preserve"> </w:t>
            </w:r>
            <w:r w:rsidR="00A63307" w:rsidRPr="008B43C8">
              <w:rPr>
                <w:sz w:val="22"/>
                <w:szCs w:val="22"/>
                <w:lang w:val="en-AU"/>
              </w:rPr>
              <w:t>in PH. Future research should explore chronic anti-inflammatory and anti-remodelling effects of Cmpd17b and other FPR agonists to support clinical translation for PH therapies.</w:t>
            </w: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4F2FEE6B" w14:textId="77777777" w:rsidR="00712D50" w:rsidRDefault="00712D50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RTP Stipend </w:t>
            </w:r>
          </w:p>
          <w:p w14:paraId="06EDEDE7" w14:textId="77777777" w:rsidR="00055E8E" w:rsidRDefault="00712D50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NHMRC Funding</w:t>
            </w:r>
          </w:p>
          <w:p w14:paraId="6FCF3731" w14:textId="77777777" w:rsidR="00055E8E" w:rsidRDefault="00055E8E" w:rsidP="000A28E2">
            <w:pPr>
              <w:pStyle w:val="Pa12"/>
              <w:rPr>
                <w:sz w:val="22"/>
                <w:szCs w:val="22"/>
              </w:rPr>
            </w:pPr>
          </w:p>
          <w:p w14:paraId="6DFB726D" w14:textId="77777777" w:rsidR="00055E8E" w:rsidRPr="00055E8E" w:rsidRDefault="00055E8E" w:rsidP="000A28E2">
            <w:pPr>
              <w:pStyle w:val="Pa12"/>
              <w:rPr>
                <w:b/>
                <w:bCs/>
                <w:sz w:val="22"/>
                <w:szCs w:val="22"/>
              </w:rPr>
            </w:pPr>
            <w:r w:rsidRPr="00055E8E">
              <w:rPr>
                <w:b/>
                <w:bCs/>
                <w:sz w:val="22"/>
                <w:szCs w:val="22"/>
              </w:rPr>
              <w:t>Declaration of Interest:</w:t>
            </w:r>
          </w:p>
          <w:p w14:paraId="7F8381F0" w14:textId="6BBA5FA1" w:rsidR="001564A4" w:rsidRDefault="00055E8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authors declare no conflict of interest.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5E8E"/>
    <w:rsid w:val="001564A4"/>
    <w:rsid w:val="003E1E1E"/>
    <w:rsid w:val="0051574E"/>
    <w:rsid w:val="00533659"/>
    <w:rsid w:val="006523A4"/>
    <w:rsid w:val="00712D50"/>
    <w:rsid w:val="007159F7"/>
    <w:rsid w:val="00840BEA"/>
    <w:rsid w:val="008803FA"/>
    <w:rsid w:val="008B4274"/>
    <w:rsid w:val="00A63307"/>
    <w:rsid w:val="00B12E32"/>
    <w:rsid w:val="00BC30CD"/>
    <w:rsid w:val="00C365EF"/>
    <w:rsid w:val="00DE186B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7159F7"/>
    <w:rPr>
      <w:rFonts w:asciiTheme="minorHAnsi" w:hAnsiTheme="minorHAnsi"/>
      <w:kern w:val="2"/>
      <w:sz w:val="24"/>
      <w:szCs w:val="24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William Studley</cp:lastModifiedBy>
  <cp:revision>4</cp:revision>
  <cp:lastPrinted>2023-10-19T06:41:00Z</cp:lastPrinted>
  <dcterms:created xsi:type="dcterms:W3CDTF">2023-10-19T06:18:00Z</dcterms:created>
  <dcterms:modified xsi:type="dcterms:W3CDTF">2023-10-19T06:48:00Z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