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7FA0" w14:textId="42C76B52" w:rsidR="008427FA" w:rsidRPr="00BF7431" w:rsidRDefault="008427FA" w:rsidP="008427FA">
      <w:pPr>
        <w:rPr>
          <w:rFonts w:ascii="Arial" w:hAnsi="Arial" w:cs="Arial"/>
          <w:b/>
          <w:bCs/>
        </w:rPr>
      </w:pPr>
      <w:r w:rsidRPr="00BF7431">
        <w:rPr>
          <w:rFonts w:ascii="Arial" w:hAnsi="Arial" w:cs="Arial"/>
          <w:b/>
          <w:bCs/>
        </w:rPr>
        <w:t xml:space="preserve">Abstract title (max. </w:t>
      </w:r>
      <w:r w:rsidR="0028124D" w:rsidRPr="00BF7431">
        <w:rPr>
          <w:rFonts w:ascii="Arial" w:hAnsi="Arial" w:cs="Arial"/>
          <w:b/>
          <w:bCs/>
        </w:rPr>
        <w:t>25</w:t>
      </w:r>
      <w:r w:rsidRPr="00BF7431">
        <w:rPr>
          <w:rFonts w:ascii="Arial" w:hAnsi="Arial" w:cs="Arial"/>
          <w:b/>
          <w:bCs/>
        </w:rPr>
        <w:t xml:space="preserve"> words): </w:t>
      </w:r>
    </w:p>
    <w:p w14:paraId="35BDD43D" w14:textId="77777777" w:rsidR="00BF7431" w:rsidRPr="007244F0" w:rsidRDefault="00BF7431" w:rsidP="008427FA">
      <w:pPr>
        <w:rPr>
          <w:rFonts w:ascii="Arial" w:hAnsi="Arial" w:cs="Arial"/>
        </w:rPr>
      </w:pPr>
    </w:p>
    <w:p w14:paraId="47C58AC2" w14:textId="7493FD7D" w:rsidR="00BF7431" w:rsidRPr="00BF7431" w:rsidRDefault="00BF7431" w:rsidP="008427FA">
      <w:pPr>
        <w:rPr>
          <w:rFonts w:ascii="Arial" w:hAnsi="Arial" w:cs="Arial"/>
        </w:rPr>
      </w:pPr>
      <w:r w:rsidRPr="00BF7431">
        <w:rPr>
          <w:rFonts w:ascii="Arial" w:hAnsi="Arial" w:cs="Arial"/>
        </w:rPr>
        <w:t>Albuminuria testing rates in people with diabetes: Analysis of an Australian dataset</w:t>
      </w:r>
    </w:p>
    <w:p w14:paraId="659B9493" w14:textId="77777777" w:rsidR="00BF7431" w:rsidRPr="007244F0" w:rsidRDefault="00BF7431" w:rsidP="008427FA">
      <w:pPr>
        <w:rPr>
          <w:rFonts w:ascii="Arial" w:hAnsi="Arial" w:cs="Arial"/>
        </w:rPr>
      </w:pPr>
    </w:p>
    <w:p w14:paraId="454B7C19" w14:textId="7119FB4F" w:rsidR="008427FA" w:rsidRPr="00BF7431" w:rsidRDefault="008427FA" w:rsidP="008427FA">
      <w:pPr>
        <w:rPr>
          <w:rFonts w:ascii="Arial" w:hAnsi="Arial" w:cs="Arial"/>
          <w:b/>
          <w:bCs/>
        </w:rPr>
      </w:pPr>
      <w:r w:rsidRPr="00BF7431">
        <w:rPr>
          <w:rFonts w:ascii="Arial" w:hAnsi="Arial" w:cs="Arial"/>
          <w:b/>
          <w:bCs/>
        </w:rPr>
        <w:t xml:space="preserve">Abstract </w:t>
      </w:r>
      <w:r w:rsidR="007244F0" w:rsidRPr="00BF7431">
        <w:rPr>
          <w:rFonts w:ascii="Arial" w:hAnsi="Arial" w:cs="Arial"/>
          <w:b/>
          <w:bCs/>
        </w:rPr>
        <w:t xml:space="preserve">content </w:t>
      </w:r>
      <w:r w:rsidRPr="00BF7431">
        <w:rPr>
          <w:rFonts w:ascii="Arial" w:hAnsi="Arial" w:cs="Arial"/>
          <w:b/>
          <w:bCs/>
        </w:rPr>
        <w:t xml:space="preserve">(max. 300 words): </w:t>
      </w:r>
    </w:p>
    <w:p w14:paraId="35065CF2" w14:textId="77777777" w:rsidR="00BF7431" w:rsidRPr="007244F0" w:rsidRDefault="00BF7431" w:rsidP="008427FA">
      <w:pPr>
        <w:rPr>
          <w:rFonts w:ascii="Arial" w:hAnsi="Arial" w:cs="Arial"/>
        </w:rPr>
      </w:pPr>
    </w:p>
    <w:p w14:paraId="6B0E4FF0" w14:textId="77777777" w:rsidR="00BF7431" w:rsidRPr="00BF7431" w:rsidRDefault="00BF7431" w:rsidP="00BF7431">
      <w:pPr>
        <w:rPr>
          <w:rFonts w:ascii="Arial" w:hAnsi="Arial" w:cs="Arial"/>
        </w:rPr>
      </w:pPr>
      <w:r w:rsidRPr="00BF7431">
        <w:rPr>
          <w:rFonts w:ascii="Arial" w:hAnsi="Arial" w:cs="Arial"/>
        </w:rPr>
        <w:t xml:space="preserve">Aims: To examine rates of screening and monitoring for chronic kidney disease (CKD) using urine albumin-creatinine ratio (uACR) testing among people with diabetes mellitus, and factors associated with likelihood of testing. </w:t>
      </w:r>
    </w:p>
    <w:p w14:paraId="1F1D926A" w14:textId="77777777" w:rsidR="00BF7431" w:rsidRPr="00BF7431" w:rsidRDefault="00BF7431" w:rsidP="00BF7431">
      <w:pPr>
        <w:rPr>
          <w:rFonts w:ascii="Arial" w:hAnsi="Arial" w:cs="Arial"/>
        </w:rPr>
      </w:pPr>
    </w:p>
    <w:p w14:paraId="4C86B975" w14:textId="77777777" w:rsidR="00BF7431" w:rsidRPr="00BF7431" w:rsidRDefault="00BF7431" w:rsidP="00BF7431">
      <w:pPr>
        <w:rPr>
          <w:rFonts w:ascii="Arial" w:hAnsi="Arial" w:cs="Arial"/>
        </w:rPr>
      </w:pPr>
      <w:r w:rsidRPr="00BF7431">
        <w:rPr>
          <w:rFonts w:ascii="Arial" w:hAnsi="Arial" w:cs="Arial"/>
        </w:rPr>
        <w:t>Methods: This quantitative retrospective cohort study included all adult individuals with at least one eGFR level from St Vincent’s Pathology Melbourne (a hospital and community-based service) between January 2023 and December 2023 (n = 154,526). Patients with diabetes mellitus were identified through HbA1c level &gt; 6.5% or clinical documentation of diabetes. We assessed the number of uACR collections within 6 months before or after the index eGFR measurement and factors associated with testing frequency.</w:t>
      </w:r>
    </w:p>
    <w:p w14:paraId="6785AC3F" w14:textId="77777777" w:rsidR="00BF7431" w:rsidRPr="00BF7431" w:rsidRDefault="00BF7431" w:rsidP="00BF7431">
      <w:pPr>
        <w:rPr>
          <w:rFonts w:ascii="Arial" w:hAnsi="Arial" w:cs="Arial"/>
        </w:rPr>
      </w:pPr>
    </w:p>
    <w:p w14:paraId="0E2DD890" w14:textId="58BA04A1" w:rsidR="00BF7431" w:rsidRPr="00BF7431" w:rsidRDefault="00BF7431" w:rsidP="00BF7431">
      <w:pPr>
        <w:rPr>
          <w:rFonts w:ascii="Arial" w:hAnsi="Arial" w:cs="Arial"/>
        </w:rPr>
      </w:pPr>
      <w:r w:rsidRPr="00BF7431">
        <w:rPr>
          <w:rFonts w:ascii="Arial" w:hAnsi="Arial" w:cs="Arial"/>
        </w:rPr>
        <w:t>Results: From the above cohort, we identified 19,198 (12.4%) patients with diabetes. Mean age was 63.7 (SD: 15.5) years, mean eGFR was 79.4 (SD: 24.3) mL/min/1.73m</w:t>
      </w:r>
      <w:r w:rsidRPr="00BF7431">
        <w:rPr>
          <w:rFonts w:ascii="Arial" w:hAnsi="Arial" w:cs="Arial"/>
          <w:vertAlign w:val="superscript"/>
        </w:rPr>
        <w:t>2</w:t>
      </w:r>
      <w:r w:rsidRPr="00BF7431">
        <w:rPr>
          <w:rFonts w:ascii="Arial" w:hAnsi="Arial" w:cs="Arial"/>
        </w:rPr>
        <w:t xml:space="preserve"> and 54% were male. Only 23.7% of patients had at least one recorded uACR collection within 6 months of the index eGFR and only 6.7% of patients had &gt; 1 test. Having a uACR measurement was more likely with decreasing eGFR; eGFR 15–29 versus ≥ 90 mL/min/1.73m</w:t>
      </w:r>
      <w:r w:rsidRPr="00BF7431">
        <w:rPr>
          <w:rFonts w:ascii="Arial" w:hAnsi="Arial" w:cs="Arial"/>
          <w:vertAlign w:val="superscript"/>
        </w:rPr>
        <w:t>2</w:t>
      </w:r>
      <w:r w:rsidRPr="00BF7431">
        <w:rPr>
          <w:rFonts w:ascii="Arial" w:hAnsi="Arial" w:cs="Arial"/>
        </w:rPr>
        <w:t xml:space="preserve"> (odds ratio (OR) [95% CI]: 3.46 [2.89–4.16], p &lt; 0.001). There was also a statistically higher likelihood of having ≥ 1 uACR collected with increasing HbA1c (OR [95% CI]: 1.09 [1.06–1.11], p &lt; 0.001), increasing age (OR [95% CI]: 1.01 [1.01–1.01], p &lt; 0.001), and being male (OR [95% CI]: 1.15 [1.08–1.23], p &lt; 0.001).</w:t>
      </w:r>
    </w:p>
    <w:p w14:paraId="0FD9C077" w14:textId="77777777" w:rsidR="00BF7431" w:rsidRPr="00BF7431" w:rsidRDefault="00BF7431" w:rsidP="00BF7431">
      <w:pPr>
        <w:rPr>
          <w:rFonts w:ascii="Arial" w:hAnsi="Arial" w:cs="Arial"/>
        </w:rPr>
      </w:pPr>
    </w:p>
    <w:p w14:paraId="2FB958E4" w14:textId="77777777" w:rsidR="00BF7431" w:rsidRPr="00BF7431" w:rsidRDefault="00BF7431" w:rsidP="00BF7431">
      <w:pPr>
        <w:rPr>
          <w:rFonts w:ascii="Arial" w:hAnsi="Arial" w:cs="Arial"/>
        </w:rPr>
      </w:pPr>
      <w:r w:rsidRPr="00BF7431">
        <w:rPr>
          <w:rFonts w:ascii="Arial" w:hAnsi="Arial" w:cs="Arial"/>
        </w:rPr>
        <w:t>Conclusion: Fewer than one-quarter of the population we studied had a uACR collection over a 12-month period. Our findings highlight the need to refocus on albuminuria testing to improve CKD detection, monitoring, and timely initiation of interventions that have kidney-protective effects in people with diabetes.</w:t>
      </w:r>
    </w:p>
    <w:p w14:paraId="0EFF133E" w14:textId="77777777" w:rsidR="008427FA" w:rsidRPr="007244F0" w:rsidRDefault="008427FA" w:rsidP="008427FA">
      <w:pPr>
        <w:rPr>
          <w:rFonts w:ascii="Arial" w:hAnsi="Arial" w:cs="Arial"/>
        </w:rPr>
      </w:pPr>
    </w:p>
    <w:p w14:paraId="6A91FA94" w14:textId="77777777" w:rsidR="008427FA" w:rsidRPr="007244F0" w:rsidRDefault="008427FA" w:rsidP="008427FA">
      <w:pPr>
        <w:rPr>
          <w:rFonts w:ascii="Arial" w:hAnsi="Arial" w:cs="Arial"/>
        </w:rPr>
      </w:pPr>
    </w:p>
    <w:p w14:paraId="7D46DD6C" w14:textId="77777777" w:rsidR="008427FA" w:rsidRPr="007244F0" w:rsidRDefault="008427FA" w:rsidP="008427FA">
      <w:pPr>
        <w:rPr>
          <w:rFonts w:ascii="Arial" w:hAnsi="Arial" w:cs="Arial"/>
        </w:rPr>
      </w:pPr>
    </w:p>
    <w:p w14:paraId="22A97A63" w14:textId="77777777" w:rsidR="008427FA" w:rsidRPr="007244F0" w:rsidRDefault="008427FA" w:rsidP="008427FA">
      <w:pPr>
        <w:rPr>
          <w:rFonts w:ascii="Arial" w:hAnsi="Arial" w:cs="Arial"/>
        </w:rPr>
      </w:pPr>
    </w:p>
    <w:p w14:paraId="5AC8EF12" w14:textId="77777777" w:rsidR="008427FA" w:rsidRPr="007244F0" w:rsidRDefault="008427FA" w:rsidP="008427FA">
      <w:pPr>
        <w:rPr>
          <w:rFonts w:ascii="Arial" w:hAnsi="Arial" w:cs="Arial"/>
        </w:rPr>
      </w:pPr>
    </w:p>
    <w:p w14:paraId="69886DD6" w14:textId="77777777" w:rsidR="008427FA" w:rsidRPr="007244F0" w:rsidRDefault="008427FA" w:rsidP="008427FA">
      <w:pPr>
        <w:rPr>
          <w:rFonts w:ascii="Arial" w:hAnsi="Arial" w:cs="Arial"/>
        </w:rPr>
      </w:pPr>
    </w:p>
    <w:p w14:paraId="31EAA4F4" w14:textId="77777777" w:rsidR="008427FA" w:rsidRPr="007244F0" w:rsidRDefault="008427FA" w:rsidP="008427FA">
      <w:pPr>
        <w:rPr>
          <w:rFonts w:ascii="Arial" w:hAnsi="Arial" w:cs="Arial"/>
        </w:rPr>
      </w:pPr>
    </w:p>
    <w:p w14:paraId="11C6E1EF" w14:textId="77777777" w:rsidR="008427FA" w:rsidRPr="007244F0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6BAD0687" w14:textId="77777777" w:rsidR="008427FA" w:rsidRPr="007244F0" w:rsidRDefault="008427FA" w:rsidP="008427FA">
      <w:pPr>
        <w:rPr>
          <w:rFonts w:ascii="Arial" w:hAnsi="Arial" w:cs="Arial"/>
        </w:rPr>
      </w:pPr>
    </w:p>
    <w:p w14:paraId="67E04D85" w14:textId="77777777" w:rsidR="008427FA" w:rsidRPr="007244F0" w:rsidRDefault="008427FA" w:rsidP="008427FA">
      <w:pPr>
        <w:rPr>
          <w:rFonts w:ascii="Arial" w:hAnsi="Arial" w:cs="Arial"/>
        </w:rPr>
      </w:pPr>
    </w:p>
    <w:p w14:paraId="230AD77C" w14:textId="77777777" w:rsidR="008427FA" w:rsidRPr="007244F0" w:rsidRDefault="008427FA" w:rsidP="008427FA">
      <w:pPr>
        <w:rPr>
          <w:rFonts w:ascii="Arial" w:hAnsi="Arial" w:cs="Arial"/>
        </w:rPr>
      </w:pPr>
    </w:p>
    <w:p w14:paraId="71F986A9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120AC4"/>
    <w:rsid w:val="0028124D"/>
    <w:rsid w:val="00376B39"/>
    <w:rsid w:val="004E09DD"/>
    <w:rsid w:val="007244F0"/>
    <w:rsid w:val="008101F4"/>
    <w:rsid w:val="008157C1"/>
    <w:rsid w:val="00830A4D"/>
    <w:rsid w:val="008427FA"/>
    <w:rsid w:val="008953CF"/>
    <w:rsid w:val="009A582D"/>
    <w:rsid w:val="009D79DB"/>
    <w:rsid w:val="00A85759"/>
    <w:rsid w:val="00BB0F79"/>
    <w:rsid w:val="00BC73E4"/>
    <w:rsid w:val="00BF7431"/>
    <w:rsid w:val="00C74D65"/>
    <w:rsid w:val="00D56368"/>
    <w:rsid w:val="00DB4275"/>
    <w:rsid w:val="00D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Sam McCormick</cp:lastModifiedBy>
  <cp:revision>3</cp:revision>
  <dcterms:created xsi:type="dcterms:W3CDTF">2025-05-04T09:47:00Z</dcterms:created>
  <dcterms:modified xsi:type="dcterms:W3CDTF">2025-05-13T10:36:00Z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