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716F" w14:textId="77777777" w:rsidR="00697297" w:rsidRPr="00697297" w:rsidRDefault="00697297" w:rsidP="008104FA">
      <w:pPr>
        <w:shd w:val="clear" w:color="auto" w:fill="FFFFFF"/>
        <w:tabs>
          <w:tab w:val="left" w:pos="2802"/>
        </w:tabs>
        <w:spacing w:before="240" w:after="240" w:line="276" w:lineRule="auto"/>
        <w:rPr>
          <w:rFonts w:ascii="Arial" w:eastAsia="Arial" w:hAnsi="Arial" w:cs="Arial"/>
          <w:b/>
          <w:bCs/>
        </w:rPr>
      </w:pPr>
      <w:r w:rsidRPr="00697297">
        <w:rPr>
          <w:rFonts w:ascii="Arial" w:eastAsia="Arial" w:hAnsi="Arial" w:cs="Arial"/>
          <w:b/>
          <w:bCs/>
        </w:rPr>
        <w:t xml:space="preserve">Evaluating </w:t>
      </w:r>
      <w:proofErr w:type="spellStart"/>
      <w:r w:rsidRPr="00697297">
        <w:rPr>
          <w:rFonts w:ascii="Arial" w:eastAsia="Arial" w:hAnsi="Arial" w:cs="Arial"/>
          <w:b/>
          <w:bCs/>
        </w:rPr>
        <w:t>Glycemic</w:t>
      </w:r>
      <w:proofErr w:type="spellEnd"/>
      <w:r w:rsidRPr="00697297">
        <w:rPr>
          <w:rFonts w:ascii="Arial" w:eastAsia="Arial" w:hAnsi="Arial" w:cs="Arial"/>
          <w:b/>
          <w:bCs/>
        </w:rPr>
        <w:t xml:space="preserve"> Benefits of an AI-driven Glucose Prediction App Via Digital Twin Technology</w:t>
      </w:r>
    </w:p>
    <w:p w14:paraId="7E12F6CE" w14:textId="77777777" w:rsidR="00697297" w:rsidRDefault="00697297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Background &amp; Aim</w:t>
      </w:r>
    </w:p>
    <w:p w14:paraId="38934834" w14:textId="52990D19" w:rsidR="00697297" w:rsidRDefault="00697297">
      <w:pPr>
        <w:shd w:val="clear" w:color="auto" w:fill="FFFFFF"/>
        <w:tabs>
          <w:tab w:val="left" w:pos="2802"/>
        </w:tabs>
        <w:spacing w:before="240" w:after="240" w:line="276" w:lineRule="auto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  <w:highlight w:val="white"/>
        </w:rPr>
        <w:t>AI-driven glucose predictions enable CGM users to manage their glucose levels more proactively</w:t>
      </w:r>
      <w:r>
        <w:rPr>
          <w:rFonts w:ascii="Arial" w:eastAsia="Arial" w:hAnsi="Arial" w:cs="Arial"/>
          <w:color w:val="333333"/>
        </w:rPr>
        <w:t>. The Accu-Chek</w:t>
      </w:r>
      <w:r>
        <w:rPr>
          <w:rFonts w:ascii="Arial" w:eastAsia="Arial" w:hAnsi="Arial" w:cs="Arial"/>
          <w:color w:val="333333"/>
          <w:vertAlign w:val="superscript"/>
        </w:rPr>
        <w:t>®</w:t>
      </w:r>
      <w:r>
        <w:rPr>
          <w:rFonts w:ascii="Arial" w:eastAsia="Arial" w:hAnsi="Arial" w:cs="Arial"/>
          <w:color w:val="333333"/>
        </w:rPr>
        <w:t xml:space="preserve"> </w:t>
      </w:r>
      <w:proofErr w:type="spellStart"/>
      <w:r>
        <w:rPr>
          <w:rFonts w:ascii="Arial" w:eastAsia="Arial" w:hAnsi="Arial" w:cs="Arial"/>
          <w:color w:val="333333"/>
        </w:rPr>
        <w:t>SmartGuide</w:t>
      </w:r>
      <w:proofErr w:type="spellEnd"/>
      <w:r>
        <w:rPr>
          <w:rFonts w:ascii="Arial" w:eastAsia="Arial" w:hAnsi="Arial" w:cs="Arial"/>
          <w:color w:val="333333"/>
        </w:rPr>
        <w:t xml:space="preserve"> Predict app provides notifications for low glucose levels within 30 minutes (LGP) and nighttime </w:t>
      </w:r>
      <w:proofErr w:type="spellStart"/>
      <w:r>
        <w:rPr>
          <w:rFonts w:ascii="Arial" w:eastAsia="Arial" w:hAnsi="Arial" w:cs="Arial"/>
          <w:color w:val="333333"/>
        </w:rPr>
        <w:t>hypoglycemia</w:t>
      </w:r>
      <w:proofErr w:type="spellEnd"/>
      <w:r>
        <w:rPr>
          <w:rFonts w:ascii="Arial" w:eastAsia="Arial" w:hAnsi="Arial" w:cs="Arial"/>
          <w:color w:val="333333"/>
        </w:rPr>
        <w:t xml:space="preserve"> risk (NLP), as well as a continuous 2-hour glucose forecast (GP). This study evaluates the potential </w:t>
      </w:r>
      <w:proofErr w:type="spellStart"/>
      <w:r>
        <w:rPr>
          <w:rFonts w:ascii="Arial" w:eastAsia="Arial" w:hAnsi="Arial" w:cs="Arial"/>
          <w:color w:val="333333"/>
        </w:rPr>
        <w:t>glycemic</w:t>
      </w:r>
      <w:proofErr w:type="spellEnd"/>
      <w:r>
        <w:rPr>
          <w:rFonts w:ascii="Arial" w:eastAsia="Arial" w:hAnsi="Arial" w:cs="Arial"/>
          <w:color w:val="333333"/>
        </w:rPr>
        <w:t xml:space="preserve"> benefits of using the app through in-silico analysis.</w:t>
      </w:r>
    </w:p>
    <w:p w14:paraId="0545C70A" w14:textId="77777777" w:rsidR="00697297" w:rsidRDefault="00697297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Methods</w:t>
      </w:r>
    </w:p>
    <w:p w14:paraId="60F17D6F" w14:textId="54986135" w:rsidR="00697297" w:rsidRDefault="00697297">
      <w:pPr>
        <w:shd w:val="clear" w:color="auto" w:fill="FFFFFF"/>
        <w:tabs>
          <w:tab w:val="left" w:pos="2802"/>
        </w:tabs>
        <w:spacing w:before="240" w:after="240" w:line="276" w:lineRule="auto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</w:rPr>
        <w:t xml:space="preserve">Using the UVa digital twin methodology, 2458 days from 20 representative individuals from the REPLACE-BG dataset were simulated. Interventions consisted of 15g fast-acting carbs following LGP notifications, 30g slow-absorbing carbs following high NLP risk prediction at </w:t>
      </w:r>
      <w:proofErr w:type="gramStart"/>
      <w:r>
        <w:rPr>
          <w:rFonts w:ascii="Arial" w:eastAsia="Arial" w:hAnsi="Arial" w:cs="Arial"/>
          <w:color w:val="333333"/>
        </w:rPr>
        <w:t>22:30, and</w:t>
      </w:r>
      <w:proofErr w:type="gramEnd"/>
      <w:r>
        <w:rPr>
          <w:rFonts w:ascii="Arial" w:eastAsia="Arial" w:hAnsi="Arial" w:cs="Arial"/>
          <w:color w:val="333333"/>
        </w:rPr>
        <w:t xml:space="preserve"> advancing/adding correction </w:t>
      </w:r>
      <w:proofErr w:type="spellStart"/>
      <w:r>
        <w:rPr>
          <w:rFonts w:ascii="Arial" w:eastAsia="Arial" w:hAnsi="Arial" w:cs="Arial"/>
          <w:color w:val="333333"/>
        </w:rPr>
        <w:t>boli</w:t>
      </w:r>
      <w:proofErr w:type="spellEnd"/>
      <w:r>
        <w:rPr>
          <w:rFonts w:ascii="Arial" w:eastAsia="Arial" w:hAnsi="Arial" w:cs="Arial"/>
          <w:color w:val="333333"/>
        </w:rPr>
        <w:t xml:space="preserve"> if GP forecast &gt;220 mg/dL. </w:t>
      </w:r>
      <w:r>
        <w:rPr>
          <w:rFonts w:ascii="Arial" w:eastAsia="Arial" w:hAnsi="Arial" w:cs="Arial"/>
          <w:color w:val="333333"/>
          <w:highlight w:val="white"/>
        </w:rPr>
        <w:t xml:space="preserve">Baseline intervention included a GP-like </w:t>
      </w:r>
      <w:proofErr w:type="spellStart"/>
      <w:r>
        <w:rPr>
          <w:rFonts w:ascii="Arial" w:eastAsia="Arial" w:hAnsi="Arial" w:cs="Arial"/>
          <w:color w:val="333333"/>
          <w:highlight w:val="white"/>
        </w:rPr>
        <w:t>hyperglycemia</w:t>
      </w:r>
      <w:proofErr w:type="spellEnd"/>
      <w:r>
        <w:rPr>
          <w:rFonts w:ascii="Arial" w:eastAsia="Arial" w:hAnsi="Arial" w:cs="Arial"/>
          <w:color w:val="333333"/>
          <w:highlight w:val="white"/>
        </w:rPr>
        <w:t xml:space="preserve"> mitigation strategy, wherein predictions were substituted with current CGM measurements.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  <w:highlight w:val="white"/>
        </w:rPr>
        <w:t xml:space="preserve">All interventions employed </w:t>
      </w:r>
      <w:proofErr w:type="spellStart"/>
      <w:r>
        <w:rPr>
          <w:rFonts w:ascii="Arial" w:eastAsia="Arial" w:hAnsi="Arial" w:cs="Arial"/>
          <w:color w:val="333333"/>
          <w:highlight w:val="white"/>
        </w:rPr>
        <w:t>hypoglycemia</w:t>
      </w:r>
      <w:proofErr w:type="spellEnd"/>
      <w:r>
        <w:rPr>
          <w:rFonts w:ascii="Arial" w:eastAsia="Arial" w:hAnsi="Arial" w:cs="Arial"/>
          <w:color w:val="333333"/>
          <w:highlight w:val="white"/>
        </w:rPr>
        <w:t xml:space="preserve"> treatments that were aligned with ADA guidelines</w:t>
      </w:r>
      <w:r>
        <w:rPr>
          <w:rFonts w:ascii="Arial" w:eastAsia="Arial" w:hAnsi="Arial" w:cs="Arial"/>
          <w:color w:val="333333"/>
        </w:rPr>
        <w:t>. Nighttime meals/</w:t>
      </w:r>
      <w:proofErr w:type="spellStart"/>
      <w:r>
        <w:rPr>
          <w:rFonts w:ascii="Arial" w:eastAsia="Arial" w:hAnsi="Arial" w:cs="Arial"/>
          <w:color w:val="333333"/>
        </w:rPr>
        <w:t>boli</w:t>
      </w:r>
      <w:proofErr w:type="spellEnd"/>
      <w:r>
        <w:rPr>
          <w:rFonts w:ascii="Arial" w:eastAsia="Arial" w:hAnsi="Arial" w:cs="Arial"/>
          <w:color w:val="333333"/>
        </w:rPr>
        <w:t xml:space="preserve"> were omitted to better assess NLP. </w:t>
      </w:r>
    </w:p>
    <w:p w14:paraId="2B65EB02" w14:textId="77777777" w:rsidR="00697297" w:rsidRDefault="00697297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Results </w:t>
      </w:r>
    </w:p>
    <w:p w14:paraId="7FF583D7" w14:textId="74D60205" w:rsidR="00697297" w:rsidRDefault="00697297">
      <w:pPr>
        <w:shd w:val="clear" w:color="auto" w:fill="FFFFFF"/>
        <w:tabs>
          <w:tab w:val="left" w:pos="2802"/>
        </w:tabs>
        <w:spacing w:before="240" w:after="240" w:line="276" w:lineRule="auto"/>
        <w:ind w:left="113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LGP reduced %time &lt;70mg/dL (</w:t>
      </w:r>
      <w:r>
        <w:rPr>
          <w:rFonts w:ascii="Arial" w:eastAsia="Arial" w:hAnsi="Arial" w:cs="Arial"/>
          <w:color w:val="1F1F1F"/>
          <w:highlight w:val="white"/>
        </w:rPr>
        <w:t xml:space="preserve">4.2±1.5 vs 0.46±0.28 </w:t>
      </w:r>
      <w:r>
        <w:rPr>
          <w:rFonts w:ascii="Arial" w:eastAsia="Arial" w:hAnsi="Arial" w:cs="Arial"/>
          <w:color w:val="333333"/>
        </w:rPr>
        <w:t>p&lt;1e-4). GP reduced %time &gt;180mg/dL (</w:t>
      </w:r>
      <w:r>
        <w:rPr>
          <w:rFonts w:ascii="Arial" w:eastAsia="Arial" w:hAnsi="Arial" w:cs="Arial"/>
          <w:color w:val="1F1F1F"/>
          <w:highlight w:val="white"/>
        </w:rPr>
        <w:t>25.3±10.2</w:t>
      </w:r>
      <w:r>
        <w:rPr>
          <w:rFonts w:ascii="Arial" w:eastAsia="Arial" w:hAnsi="Arial" w:cs="Arial"/>
          <w:color w:val="333333"/>
        </w:rPr>
        <w:t xml:space="preserve"> vs </w:t>
      </w:r>
      <w:r>
        <w:rPr>
          <w:rFonts w:ascii="Arial" w:eastAsia="Arial" w:hAnsi="Arial" w:cs="Arial"/>
          <w:color w:val="1F1F1F"/>
          <w:highlight w:val="white"/>
        </w:rPr>
        <w:t>22.0±8.6</w:t>
      </w:r>
      <w:r>
        <w:rPr>
          <w:rFonts w:ascii="Arial" w:eastAsia="Arial" w:hAnsi="Arial" w:cs="Arial"/>
          <w:color w:val="333333"/>
        </w:rPr>
        <w:t xml:space="preserve"> p&lt;1e-4). NLP decreased overnight %time &lt;70mg/dL (</w:t>
      </w:r>
      <w:r>
        <w:rPr>
          <w:rFonts w:ascii="Arial" w:eastAsia="Arial" w:hAnsi="Arial" w:cs="Arial"/>
          <w:color w:val="1F1F1F"/>
        </w:rPr>
        <w:t>5.6±2.2</w:t>
      </w:r>
      <w:r>
        <w:rPr>
          <w:rFonts w:ascii="Arial" w:eastAsia="Arial" w:hAnsi="Arial" w:cs="Arial"/>
          <w:color w:val="333333"/>
        </w:rPr>
        <w:t xml:space="preserve"> vs </w:t>
      </w:r>
      <w:r>
        <w:rPr>
          <w:rFonts w:ascii="Arial" w:eastAsia="Arial" w:hAnsi="Arial" w:cs="Arial"/>
          <w:color w:val="1F1F1F"/>
        </w:rPr>
        <w:t>3.8±1.2</w:t>
      </w:r>
      <w:r>
        <w:rPr>
          <w:rFonts w:ascii="Arial" w:eastAsia="Arial" w:hAnsi="Arial" w:cs="Arial"/>
          <w:color w:val="333333"/>
        </w:rPr>
        <w:t xml:space="preserve"> p&lt;1e-4). Combining all features significantly reduced time outside range.</w:t>
      </w:r>
    </w:p>
    <w:tbl>
      <w:tblPr>
        <w:tblStyle w:val="a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843D13" w14:paraId="30BE674E" w14:textId="77777777">
        <w:trPr>
          <w:trHeight w:val="677"/>
        </w:trPr>
        <w:tc>
          <w:tcPr>
            <w:tcW w:w="9067" w:type="dxa"/>
          </w:tcPr>
          <w:p w14:paraId="15924E61" w14:textId="77777777" w:rsidR="00843D13" w:rsidRDefault="008104FA">
            <w:pPr>
              <w:spacing w:line="276" w:lineRule="auto"/>
              <w:ind w:right="534"/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  <w:r>
              <w:rPr>
                <w:rFonts w:ascii="Arial" w:eastAsia="Arial" w:hAnsi="Arial" w:cs="Arial"/>
                <w:b/>
              </w:rPr>
              <w:t>Table 1.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Mean</w:t>
            </w:r>
            <w:r>
              <w:rPr>
                <w:rFonts w:ascii="Arial" w:eastAsia="Arial" w:hAnsi="Arial" w:cs="Arial"/>
                <w:color w:val="1F1F1F"/>
                <w:highlight w:val="white"/>
              </w:rPr>
              <w:t>±Std</w:t>
            </w:r>
            <w:proofErr w:type="spellEnd"/>
            <w:r>
              <w:rPr>
                <w:rFonts w:ascii="Arial" w:eastAsia="Arial" w:hAnsi="Arial" w:cs="Arial"/>
              </w:rPr>
              <w:t xml:space="preserve"> per 24h/night population outcomes (n=20) for the different evaluated interventions. The night period is defined as 22:30-05:30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.</w:t>
            </w:r>
          </w:p>
          <w:sdt>
            <w:sdtPr>
              <w:tag w:val="goog_rdk_0"/>
              <w:id w:val="1774044773"/>
              <w:lock w:val="contentLocked"/>
            </w:sdtPr>
            <w:sdtEndPr/>
            <w:sdtContent>
              <w:tbl>
                <w:tblPr>
                  <w:tblStyle w:val="a2"/>
                  <w:tblW w:w="8760" w:type="dxa"/>
                  <w:tblInd w:w="30" w:type="dxa"/>
                  <w:tbl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870"/>
                  <w:gridCol w:w="1425"/>
                  <w:gridCol w:w="1455"/>
                  <w:gridCol w:w="1650"/>
                  <w:gridCol w:w="1740"/>
                  <w:gridCol w:w="1620"/>
                </w:tblGrid>
                <w:tr w:rsidR="00843D13" w14:paraId="26904BFE" w14:textId="77777777">
                  <w:trPr>
                    <w:trHeight w:val="315"/>
                  </w:trPr>
                  <w:tc>
                    <w:tcPr>
                      <w:tcW w:w="870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CCCCCC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28D5A752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Scope</w:t>
                      </w:r>
                    </w:p>
                  </w:tc>
                  <w:tc>
                    <w:tcPr>
                      <w:tcW w:w="1425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CCCCCC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2780C497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Intervention</w:t>
                      </w:r>
                    </w:p>
                  </w:tc>
                  <w:tc>
                    <w:tcPr>
                      <w:tcW w:w="1455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CCCCCC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1202997E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Mean CGM</w:t>
                      </w:r>
                    </w:p>
                    <w:p w14:paraId="08C738F0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(mg/dL)</w:t>
                      </w:r>
                    </w:p>
                  </w:tc>
                  <w:tc>
                    <w:tcPr>
                      <w:tcW w:w="1650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CCCCCC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5DE01193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% Time &lt; 70 mg/dL</w:t>
                      </w:r>
                    </w:p>
                  </w:tc>
                  <w:tc>
                    <w:tcPr>
                      <w:tcW w:w="1740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CCCCCC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80F0BB1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% Time in [70,180] mg/dL</w:t>
                      </w:r>
                    </w:p>
                  </w:tc>
                  <w:tc>
                    <w:tcPr>
                      <w:tcW w:w="1620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CCCCCC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4407697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% Time</w:t>
                      </w:r>
                    </w:p>
                    <w:p w14:paraId="68127145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 xml:space="preserve"> &gt; 180 mg/dL</w:t>
                      </w:r>
                    </w:p>
                  </w:tc>
                </w:tr>
                <w:tr w:rsidR="00843D13" w14:paraId="426896B9" w14:textId="77777777">
                  <w:trPr>
                    <w:trHeight w:val="315"/>
                  </w:trPr>
                  <w:tc>
                    <w:tcPr>
                      <w:tcW w:w="870" w:type="dxa"/>
                      <w:tcBorders>
                        <w:top w:val="single" w:sz="6" w:space="0" w:color="000000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08C026A5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24h</w:t>
                      </w:r>
                    </w:p>
                  </w:tc>
                  <w:tc>
                    <w:tcPr>
                      <w:tcW w:w="1425" w:type="dxa"/>
                      <w:tcBorders>
                        <w:top w:val="single" w:sz="6" w:space="0" w:color="000000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4E973379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BASELINE</w:t>
                      </w:r>
                    </w:p>
                  </w:tc>
                  <w:tc>
                    <w:tcPr>
                      <w:tcW w:w="1455" w:type="dxa"/>
                      <w:tcBorders>
                        <w:top w:val="single" w:sz="6" w:space="0" w:color="000000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199E9741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147.7±16.9</w:t>
                      </w:r>
                    </w:p>
                  </w:tc>
                  <w:tc>
                    <w:tcPr>
                      <w:tcW w:w="1650" w:type="dxa"/>
                      <w:tcBorders>
                        <w:top w:val="single" w:sz="6" w:space="0" w:color="000000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41D5A79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4.2±1.5</w:t>
                      </w:r>
                    </w:p>
                  </w:tc>
                  <w:tc>
                    <w:tcPr>
                      <w:tcW w:w="1740" w:type="dxa"/>
                      <w:tcBorders>
                        <w:top w:val="single" w:sz="6" w:space="0" w:color="000000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2524C733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70.3±9.8</w:t>
                      </w:r>
                    </w:p>
                  </w:tc>
                  <w:tc>
                    <w:tcPr>
                      <w:tcW w:w="1620" w:type="dxa"/>
                      <w:tcBorders>
                        <w:top w:val="single" w:sz="6" w:space="0" w:color="000000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0EFAB118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25.3±10.2</w:t>
                      </w:r>
                    </w:p>
                  </w:tc>
                </w:tr>
                <w:tr w:rsidR="00843D13" w14:paraId="01C5F90D" w14:textId="77777777">
                  <w:trPr>
                    <w:trHeight w:val="315"/>
                  </w:trPr>
                  <w:tc>
                    <w:tcPr>
                      <w:tcW w:w="87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416B091B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24h</w:t>
                      </w:r>
                    </w:p>
                  </w:tc>
                  <w:tc>
                    <w:tcPr>
                      <w:tcW w:w="142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424918BD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LGP</w:t>
                      </w:r>
                    </w:p>
                  </w:tc>
                  <w:tc>
                    <w:tcPr>
                      <w:tcW w:w="145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0946F2E4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153.8±15.9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65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01E0BB58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0.46±0.28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74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257FE062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72.9±9.9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*** </w:t>
                      </w:r>
                    </w:p>
                  </w:tc>
                  <w:tc>
                    <w:tcPr>
                      <w:tcW w:w="162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35CFD909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26.5±10.0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*** </w:t>
                      </w:r>
                    </w:p>
                  </w:tc>
                </w:tr>
                <w:tr w:rsidR="00843D13" w14:paraId="1E2206E4" w14:textId="77777777">
                  <w:trPr>
                    <w:trHeight w:val="315"/>
                  </w:trPr>
                  <w:tc>
                    <w:tcPr>
                      <w:tcW w:w="87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22F025D7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24h</w:t>
                      </w:r>
                    </w:p>
                  </w:tc>
                  <w:tc>
                    <w:tcPr>
                      <w:tcW w:w="142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1E872D6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GP</w:t>
                      </w:r>
                    </w:p>
                  </w:tc>
                  <w:tc>
                    <w:tcPr>
                      <w:tcW w:w="145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D8A6264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143.6±14.5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65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40ED90D6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4.4±1.4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</w:t>
                      </w:r>
                    </w:p>
                  </w:tc>
                  <w:tc>
                    <w:tcPr>
                      <w:tcW w:w="174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4DA3AFB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73.5±8.4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62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31595D5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22.0±8.6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</w:tr>
                <w:tr w:rsidR="00843D13" w14:paraId="2E8A9AA1" w14:textId="77777777">
                  <w:trPr>
                    <w:trHeight w:val="315"/>
                  </w:trPr>
                  <w:tc>
                    <w:tcPr>
                      <w:tcW w:w="87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1A6F0BB5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Night</w:t>
                      </w:r>
                    </w:p>
                  </w:tc>
                  <w:tc>
                    <w:tcPr>
                      <w:tcW w:w="142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3120DF0B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BASELINE</w:t>
                      </w:r>
                    </w:p>
                  </w:tc>
                  <w:tc>
                    <w:tcPr>
                      <w:tcW w:w="145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55197CFD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134.5±14.2</w:t>
                      </w:r>
                    </w:p>
                  </w:tc>
                  <w:tc>
                    <w:tcPr>
                      <w:tcW w:w="165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4DDCE780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5.6±2.2</w:t>
                      </w:r>
                    </w:p>
                  </w:tc>
                  <w:tc>
                    <w:tcPr>
                      <w:tcW w:w="174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2EAA016D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76.2±7.5</w:t>
                      </w:r>
                    </w:p>
                  </w:tc>
                  <w:tc>
                    <w:tcPr>
                      <w:tcW w:w="162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5" w:space="0" w:color="CCCCCC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4B0589F7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18.1±8.4</w:t>
                      </w:r>
                    </w:p>
                  </w:tc>
                </w:tr>
                <w:tr w:rsidR="00843D13" w14:paraId="48B10BAD" w14:textId="77777777">
                  <w:trPr>
                    <w:trHeight w:val="315"/>
                  </w:trPr>
                  <w:tc>
                    <w:tcPr>
                      <w:tcW w:w="87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12" w:space="0" w:color="000000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165ADA6C" w14:textId="77777777" w:rsidR="00843D13" w:rsidRDefault="00843D13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367A2319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Night</w:t>
                      </w:r>
                    </w:p>
                  </w:tc>
                  <w:tc>
                    <w:tcPr>
                      <w:tcW w:w="142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12" w:space="0" w:color="000000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06A142F6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NLP</w:t>
                      </w:r>
                    </w:p>
                  </w:tc>
                  <w:tc>
                    <w:tcPr>
                      <w:tcW w:w="1455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12" w:space="0" w:color="000000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739298C7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141.0±12.1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65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12" w:space="0" w:color="000000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59FBFA16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3.8±1.2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74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12" w:space="0" w:color="000000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32B5F822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75.4±7.2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</w:t>
                      </w:r>
                    </w:p>
                  </w:tc>
                  <w:tc>
                    <w:tcPr>
                      <w:tcW w:w="1620" w:type="dxa"/>
                      <w:tcBorders>
                        <w:top w:val="single" w:sz="5" w:space="0" w:color="CCCCCC"/>
                        <w:left w:val="single" w:sz="5" w:space="0" w:color="CCCCCC"/>
                        <w:bottom w:val="single" w:sz="12" w:space="0" w:color="000000"/>
                        <w:right w:val="single" w:sz="5" w:space="0" w:color="CCCCCC"/>
                      </w:tcBorders>
                      <w:shd w:val="clear" w:color="auto" w:fill="EFEFEF"/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09FCF789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</w:rPr>
                        <w:t>20.7±7.6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</w:tr>
                <w:tr w:rsidR="00843D13" w14:paraId="7E750194" w14:textId="77777777">
                  <w:trPr>
                    <w:trHeight w:val="315"/>
                  </w:trPr>
                  <w:tc>
                    <w:tcPr>
                      <w:tcW w:w="87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4B19BB92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24h</w:t>
                      </w:r>
                    </w:p>
                  </w:tc>
                  <w:tc>
                    <w:tcPr>
                      <w:tcW w:w="1425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353DB412" w14:textId="77777777" w:rsidR="00843D13" w:rsidRDefault="008104FA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LGP+GP+NLP</w:t>
                      </w:r>
                    </w:p>
                  </w:tc>
                  <w:tc>
                    <w:tcPr>
                      <w:tcW w:w="1455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1B31DCD3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150.1±13.4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</w:t>
                      </w:r>
                    </w:p>
                  </w:tc>
                  <w:tc>
                    <w:tcPr>
                      <w:tcW w:w="165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62F14CAA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0.51±0.29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74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5E16F092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76.1±8.3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***</w:t>
                      </w:r>
                    </w:p>
                  </w:tc>
                  <w:tc>
                    <w:tcPr>
                      <w:tcW w:w="1620" w:type="dxa"/>
                      <w:tc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tcBorders>
                      <w:tcMar>
                        <w:top w:w="72" w:type="dxa"/>
                        <w:left w:w="72" w:type="dxa"/>
                        <w:bottom w:w="72" w:type="dxa"/>
                        <w:right w:w="72" w:type="dxa"/>
                      </w:tcMar>
                      <w:vAlign w:val="bottom"/>
                    </w:tcPr>
                    <w:p w14:paraId="3117F093" w14:textId="77777777" w:rsidR="00843D13" w:rsidRDefault="008104FA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1F1F1F"/>
                          <w:sz w:val="16"/>
                          <w:szCs w:val="16"/>
                          <w:highlight w:val="white"/>
                        </w:rPr>
                        <w:t>23.3±8.4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**</w:t>
                      </w:r>
                    </w:p>
                  </w:tc>
                </w:tr>
              </w:tbl>
            </w:sdtContent>
          </w:sdt>
          <w:p w14:paraId="69CA8439" w14:textId="77777777" w:rsidR="00843D13" w:rsidRDefault="008104F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1F1F1F"/>
                <w:sz w:val="16"/>
                <w:szCs w:val="16"/>
                <w:highlight w:val="white"/>
              </w:rPr>
              <w:t xml:space="preserve">* (p &lt; 0.05)   ** (p &lt; 0.01)   *** (p &lt; 0.0001)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  <w:highlight w:val="white"/>
              </w:rPr>
              <w:tab/>
            </w:r>
          </w:p>
          <w:p w14:paraId="193F697C" w14:textId="77777777" w:rsidR="00843D13" w:rsidRDefault="00843D13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C87A01B" w14:textId="77777777" w:rsidR="00697297" w:rsidRDefault="00697297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Discussion/Conclusion</w:t>
      </w:r>
    </w:p>
    <w:p w14:paraId="4A15E2BB" w14:textId="51187CDE" w:rsidR="00697297" w:rsidRDefault="00697297">
      <w:pPr>
        <w:shd w:val="clear" w:color="auto" w:fill="FFFFFF"/>
        <w:tabs>
          <w:tab w:val="left" w:pos="2802"/>
        </w:tabs>
        <w:spacing w:before="240" w:after="240" w:line="276" w:lineRule="auto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33"/>
        </w:rPr>
        <w:lastRenderedPageBreak/>
        <w:t>The Accu-Chek</w:t>
      </w:r>
      <w:r>
        <w:rPr>
          <w:rFonts w:ascii="Arial" w:eastAsia="Arial" w:hAnsi="Arial" w:cs="Arial"/>
          <w:color w:val="333333"/>
          <w:vertAlign w:val="superscript"/>
        </w:rPr>
        <w:t>®</w:t>
      </w:r>
      <w:r>
        <w:rPr>
          <w:rFonts w:ascii="Arial" w:eastAsia="Arial" w:hAnsi="Arial" w:cs="Arial"/>
          <w:color w:val="333333"/>
        </w:rPr>
        <w:t xml:space="preserve"> </w:t>
      </w:r>
      <w:proofErr w:type="spellStart"/>
      <w:r>
        <w:rPr>
          <w:rFonts w:ascii="Arial" w:eastAsia="Arial" w:hAnsi="Arial" w:cs="Arial"/>
          <w:color w:val="333333"/>
        </w:rPr>
        <w:t>SmartGuide</w:t>
      </w:r>
      <w:proofErr w:type="spellEnd"/>
      <w:r>
        <w:rPr>
          <w:rFonts w:ascii="Arial" w:eastAsia="Arial" w:hAnsi="Arial" w:cs="Arial"/>
          <w:color w:val="333333"/>
        </w:rPr>
        <w:t xml:space="preserve"> Predict app has the potential to enhance </w:t>
      </w:r>
      <w:proofErr w:type="spellStart"/>
      <w:r>
        <w:rPr>
          <w:rFonts w:ascii="Arial" w:eastAsia="Arial" w:hAnsi="Arial" w:cs="Arial"/>
          <w:color w:val="333333"/>
        </w:rPr>
        <w:t>glycemic</w:t>
      </w:r>
      <w:proofErr w:type="spellEnd"/>
      <w:r>
        <w:rPr>
          <w:rFonts w:ascii="Arial" w:eastAsia="Arial" w:hAnsi="Arial" w:cs="Arial"/>
          <w:color w:val="333333"/>
        </w:rPr>
        <w:t xml:space="preserve"> control in T1D. Limitations include the in-silico nature of the </w:t>
      </w:r>
      <w:proofErr w:type="gramStart"/>
      <w:r>
        <w:rPr>
          <w:rFonts w:ascii="Arial" w:eastAsia="Arial" w:hAnsi="Arial" w:cs="Arial"/>
          <w:color w:val="333333"/>
        </w:rPr>
        <w:t>study</w:t>
      </w:r>
      <w:proofErr w:type="gramEnd"/>
      <w:r>
        <w:rPr>
          <w:rFonts w:ascii="Arial" w:eastAsia="Arial" w:hAnsi="Arial" w:cs="Arial"/>
          <w:color w:val="333333"/>
        </w:rPr>
        <w:t xml:space="preserve"> and the assumptions made in the user behaviour models.</w:t>
      </w:r>
    </w:p>
    <w:p w14:paraId="540210D3" w14:textId="77777777" w:rsidR="00843D13" w:rsidRDefault="00843D13">
      <w:pPr>
        <w:rPr>
          <w:rFonts w:ascii="Arial" w:eastAsia="Arial" w:hAnsi="Arial" w:cs="Arial"/>
        </w:rPr>
      </w:pPr>
    </w:p>
    <w:p w14:paraId="6E4C4D82" w14:textId="77777777" w:rsidR="00843D13" w:rsidRDefault="00843D13">
      <w:pPr>
        <w:rPr>
          <w:rFonts w:ascii="Arial" w:eastAsia="Arial" w:hAnsi="Arial" w:cs="Arial"/>
          <w:i/>
        </w:rPr>
      </w:pPr>
    </w:p>
    <w:p w14:paraId="004672C9" w14:textId="77777777" w:rsidR="00843D13" w:rsidRDefault="00843D13">
      <w:pPr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</w:p>
    <w:p w14:paraId="29AE348E" w14:textId="77777777" w:rsidR="00843D13" w:rsidRDefault="00843D13">
      <w:pPr>
        <w:rPr>
          <w:rFonts w:ascii="Arial" w:eastAsia="Arial" w:hAnsi="Arial" w:cs="Arial"/>
        </w:rPr>
      </w:pPr>
    </w:p>
    <w:p w14:paraId="1B22F385" w14:textId="77777777" w:rsidR="00843D13" w:rsidRDefault="00843D13">
      <w:pPr>
        <w:rPr>
          <w:rFonts w:ascii="Arial" w:eastAsia="Arial" w:hAnsi="Arial" w:cs="Arial"/>
          <w:b/>
        </w:rPr>
      </w:pPr>
    </w:p>
    <w:p w14:paraId="26E50591" w14:textId="77777777" w:rsidR="00843D13" w:rsidRDefault="00843D13">
      <w:pPr>
        <w:rPr>
          <w:rFonts w:ascii="Arial" w:eastAsia="Arial" w:hAnsi="Arial" w:cs="Arial"/>
          <w:b/>
        </w:rPr>
      </w:pPr>
    </w:p>
    <w:p w14:paraId="3B1353C2" w14:textId="77777777" w:rsidR="00843D13" w:rsidRDefault="00843D13">
      <w:pPr>
        <w:rPr>
          <w:rFonts w:ascii="Arial" w:eastAsia="Arial" w:hAnsi="Arial" w:cs="Arial"/>
        </w:rPr>
      </w:pPr>
    </w:p>
    <w:sectPr w:rsidR="00843D1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686B45EE-C518-40CB-95A1-573E8D4BDA7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F7DA2CE-99D8-4454-87EF-FDC7F929ED3F}"/>
    <w:embedItalic r:id="rId3" w:fontKey="{727F117A-54AA-414C-83BB-88DA521F345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13"/>
    <w:rsid w:val="0007164B"/>
    <w:rsid w:val="001049FE"/>
    <w:rsid w:val="001A2D1F"/>
    <w:rsid w:val="00697297"/>
    <w:rsid w:val="008104FA"/>
    <w:rsid w:val="00843D13"/>
    <w:rsid w:val="00D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E903"/>
  <w15:docId w15:val="{2A5577D3-C0F4-4514-8E12-4CFDF320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="Atlas Grotesk Regular" w:hAnsi="Atlas Grotesk Regular" w:cs="Atlas Grotesk Regular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dxs6WOGFHzBclC/VIWFJCpczw==">CgMxLjAaHwoBMBIaChgICVIUChJ0YWJsZS52b2VyZWh3NWM0MDg4AHIhMWhpM0RDbVFPWkdsUDExaXhPNC1tSGtMcEZ4Nm9RNU85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A8EDBC4-AD9A-4970-952C-8D5C21CC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0F081-11CC-4582-84E1-B81B05AB9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1ECFE-2CAB-4847-9677-245124A4587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6911e96c-4cc4-42d5-8e43-f93924cf6a05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cab52c9b-ab33-4221-8af9-54f8f2b86a80"/>
    <ds:schemaRef ds:uri="9c8a2b7b-0bee-4c48-b0a6-23db8982d3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Mulrennan</dc:creator>
  <cp:lastModifiedBy>Tanya Yandall</cp:lastModifiedBy>
  <cp:revision>5</cp:revision>
  <dcterms:created xsi:type="dcterms:W3CDTF">2025-05-21T01:39:00Z</dcterms:created>
  <dcterms:modified xsi:type="dcterms:W3CDTF">2025-05-21T01:44:00Z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