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B35A26" w:rsidRDefault="004A3628" w:rsidP="004A3628">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B35A26" w14:paraId="5E79EE7E" w14:textId="77777777" w:rsidTr="3B47750A">
        <w:tc>
          <w:tcPr>
            <w:tcW w:w="8640" w:type="dxa"/>
            <w:shd w:val="clear" w:color="auto" w:fill="F2F2F2" w:themeFill="background1" w:themeFillShade="F2"/>
          </w:tcPr>
          <w:p w14:paraId="577AC057" w14:textId="27C0AADD" w:rsidR="004A3628" w:rsidRPr="00B35A26" w:rsidRDefault="00C538A0" w:rsidP="00D13086">
            <w:pPr>
              <w:jc w:val="both"/>
              <w:rPr>
                <w:rFonts w:ascii="Arial" w:hAnsi="Arial" w:cs="Arial"/>
                <w:i/>
                <w:iCs/>
                <w:sz w:val="22"/>
                <w:szCs w:val="22"/>
              </w:rPr>
            </w:pPr>
            <w:r w:rsidRPr="00B35A26">
              <w:rPr>
                <w:rFonts w:ascii="Arial" w:hAnsi="Arial" w:cs="Arial"/>
                <w:i/>
                <w:iCs/>
                <w:sz w:val="22"/>
                <w:szCs w:val="22"/>
              </w:rPr>
              <w:t>Knowledge Café</w:t>
            </w:r>
          </w:p>
          <w:p w14:paraId="1B31BF05" w14:textId="2BB09CE4" w:rsidR="004A3628" w:rsidRPr="00B35A26" w:rsidRDefault="28DDECC3" w:rsidP="00C538A0">
            <w:pPr>
              <w:spacing w:after="160" w:line="257" w:lineRule="auto"/>
              <w:jc w:val="both"/>
              <w:rPr>
                <w:rFonts w:ascii="Arial" w:hAnsi="Arial" w:cs="Arial"/>
                <w:b/>
                <w:bCs/>
                <w:sz w:val="22"/>
                <w:szCs w:val="22"/>
              </w:rPr>
            </w:pPr>
            <w:r w:rsidRPr="00B35A26">
              <w:rPr>
                <w:rFonts w:ascii="Arial" w:hAnsi="Arial" w:cs="Arial"/>
                <w:b/>
                <w:bCs/>
                <w:sz w:val="22"/>
                <w:szCs w:val="22"/>
              </w:rPr>
              <w:t>Knowledge cafe to share innovative strategies for financing protection and improved management of coastal wetlands in Asia Pacific to deliver adaptation benefits</w:t>
            </w:r>
          </w:p>
        </w:tc>
      </w:tr>
      <w:tr w:rsidR="004A3628" w:rsidRPr="00B35A26" w14:paraId="1AD42B31" w14:textId="77777777" w:rsidTr="3B47750A">
        <w:trPr>
          <w:trHeight w:val="1511"/>
        </w:trPr>
        <w:tc>
          <w:tcPr>
            <w:tcW w:w="8640" w:type="dxa"/>
          </w:tcPr>
          <w:p w14:paraId="2BEF63B4" w14:textId="77777777" w:rsidR="00D5028C" w:rsidRPr="00B35A26" w:rsidRDefault="00D5028C" w:rsidP="28DDECC3">
            <w:pPr>
              <w:rPr>
                <w:rFonts w:ascii="Arial" w:hAnsi="Arial" w:cs="Arial"/>
                <w:b/>
                <w:bCs/>
                <w:sz w:val="22"/>
                <w:szCs w:val="22"/>
              </w:rPr>
            </w:pPr>
          </w:p>
          <w:p w14:paraId="53E4D0D1" w14:textId="56FDB3ED" w:rsidR="00D5028C" w:rsidRPr="00B35A26" w:rsidRDefault="35D57B85" w:rsidP="35D57B85">
            <w:pPr>
              <w:rPr>
                <w:rFonts w:ascii="Arial" w:hAnsi="Arial" w:cs="Arial"/>
                <w:sz w:val="22"/>
                <w:szCs w:val="22"/>
                <w:lang w:val="en-AU"/>
              </w:rPr>
            </w:pPr>
            <w:r w:rsidRPr="00B35A26">
              <w:rPr>
                <w:rFonts w:ascii="Arial" w:hAnsi="Arial" w:cs="Arial"/>
                <w:sz w:val="22"/>
                <w:szCs w:val="22"/>
                <w:lang w:val="en-AU"/>
              </w:rPr>
              <w:t>Coastal blue carbon ecosystems such as mangroves, seagrasses, tidal marshes support biodiversity, provide essential ecosystem services, provide protection against climate impacts including flooding, as well as helping to mitigate climate change. However, they face threats from coastal development, aquaculture, pollution, and shifting ocean conditions, releasing up to 1.9 gigatons of greenhouse gases annually. Traditional blue carbon projects rely on alternative livelihoods, which often remain small-scale, or carbon finance, which many high-potential areas lack the necessary conditions to access. </w:t>
            </w:r>
          </w:p>
          <w:p w14:paraId="4C845A79" w14:textId="7E0946D5" w:rsidR="00D5028C" w:rsidRPr="00B35A26" w:rsidRDefault="00D5028C" w:rsidP="35D57B85">
            <w:pPr>
              <w:rPr>
                <w:rFonts w:ascii="Arial" w:hAnsi="Arial" w:cs="Arial"/>
                <w:sz w:val="22"/>
                <w:szCs w:val="22"/>
                <w:lang w:val="en-AU"/>
              </w:rPr>
            </w:pPr>
          </w:p>
          <w:p w14:paraId="79144923" w14:textId="38A8A57E" w:rsidR="00D5028C" w:rsidRPr="00B35A26" w:rsidRDefault="35D57B85" w:rsidP="28DDECC3">
            <w:pPr>
              <w:rPr>
                <w:rFonts w:ascii="Arial" w:hAnsi="Arial" w:cs="Arial"/>
                <w:sz w:val="22"/>
                <w:szCs w:val="22"/>
                <w:lang w:val="en-AU"/>
              </w:rPr>
            </w:pPr>
            <w:r w:rsidRPr="00B35A26">
              <w:rPr>
                <w:rFonts w:ascii="Arial" w:hAnsi="Arial" w:cs="Arial"/>
                <w:sz w:val="22"/>
                <w:szCs w:val="22"/>
                <w:lang w:val="en-AU"/>
              </w:rPr>
              <w:t>There are important reasons to protect these ecosystems aside from their carbon benefits, and opportunities to fund their protection and improved management other than through carbon finance. The Nature Conservancy, for example, working together with partners, has recently launched BC+, an initiative that seeks to scale business models that tightly weave together protection and production goals, making coastal habitat preservation a crucial component of success and economically benefiting local communities. </w:t>
            </w:r>
          </w:p>
          <w:p w14:paraId="4F14A659" w14:textId="77777777" w:rsidR="00D5028C" w:rsidRPr="00B35A26" w:rsidRDefault="00D5028C" w:rsidP="28DDECC3">
            <w:pPr>
              <w:rPr>
                <w:rFonts w:ascii="Arial" w:hAnsi="Arial" w:cs="Arial"/>
                <w:sz w:val="22"/>
                <w:szCs w:val="22"/>
                <w:lang w:val="en-AU"/>
              </w:rPr>
            </w:pPr>
          </w:p>
          <w:p w14:paraId="670728E6" w14:textId="4275CA9F" w:rsidR="00D5028C" w:rsidRPr="00B35A26" w:rsidRDefault="35D57B85" w:rsidP="28DDECC3">
            <w:pPr>
              <w:rPr>
                <w:rFonts w:ascii="Arial" w:hAnsi="Arial" w:cs="Arial"/>
                <w:sz w:val="22"/>
                <w:szCs w:val="22"/>
                <w:lang w:val="en-AU"/>
              </w:rPr>
            </w:pPr>
            <w:r w:rsidRPr="00B35A26">
              <w:rPr>
                <w:rFonts w:ascii="Arial" w:hAnsi="Arial" w:cs="Arial"/>
                <w:sz w:val="22"/>
                <w:szCs w:val="22"/>
                <w:lang w:val="en-AU"/>
              </w:rPr>
              <w:t xml:space="preserve">The session will also share information on TNC’s work across Asia Pacific focusing on protection and improved management of blue carbon ecosystems including coastal wetlands, and our work with various partners to identify mechanisms to sustainably finance these efforts. </w:t>
            </w:r>
          </w:p>
          <w:p w14:paraId="0C1BC872" w14:textId="77777777" w:rsidR="00D5028C" w:rsidRPr="00B35A26" w:rsidRDefault="00D5028C" w:rsidP="28DDECC3">
            <w:pPr>
              <w:rPr>
                <w:rFonts w:ascii="Arial" w:hAnsi="Arial" w:cs="Arial"/>
                <w:sz w:val="22"/>
                <w:szCs w:val="22"/>
                <w:lang w:val="en-AU"/>
              </w:rPr>
            </w:pPr>
          </w:p>
          <w:p w14:paraId="25B2D873" w14:textId="1101A03A" w:rsidR="00B51191" w:rsidRPr="00B35A26" w:rsidRDefault="35D57B85" w:rsidP="28DDECC3">
            <w:pPr>
              <w:widowControl w:val="0"/>
              <w:tabs>
                <w:tab w:val="left" w:pos="1660"/>
              </w:tabs>
              <w:autoSpaceDE w:val="0"/>
              <w:autoSpaceDN w:val="0"/>
              <w:ind w:right="939"/>
              <w:rPr>
                <w:rFonts w:ascii="Arial" w:hAnsi="Arial" w:cs="Arial"/>
                <w:sz w:val="22"/>
                <w:szCs w:val="22"/>
                <w:lang w:val="en-AU"/>
              </w:rPr>
            </w:pPr>
            <w:r w:rsidRPr="00B35A26">
              <w:rPr>
                <w:rFonts w:ascii="Arial" w:hAnsi="Arial" w:cs="Arial"/>
                <w:sz w:val="22"/>
                <w:szCs w:val="22"/>
                <w:lang w:val="en-AU"/>
              </w:rPr>
              <w:t xml:space="preserve">For example, in Hong Kong, the government has just launched an ambitious mega-city development project –Northern Metropolis Development (NMD) project, covering 40,000 hectares. However, much of this proposed development is planned for the flood-prone estuarine floodplains of Deep Bay and therefore faces increasing climate risks from rising sea levels and flooding caused by extreme weather events. TNC has set out to develop an integrated modelling framework to evaluate and quantify how coastal wetlands, fishponds, and hillside forests can aid flood mitigation—by modelling changes in flood area extent and duration— before and after restoration, therefore building a compelling case for </w:t>
            </w:r>
            <w:proofErr w:type="spellStart"/>
            <w:r w:rsidRPr="00B35A26">
              <w:rPr>
                <w:rFonts w:ascii="Arial" w:hAnsi="Arial" w:cs="Arial"/>
                <w:sz w:val="22"/>
                <w:szCs w:val="22"/>
                <w:lang w:val="en-AU"/>
              </w:rPr>
              <w:t>NbS</w:t>
            </w:r>
            <w:proofErr w:type="spellEnd"/>
            <w:r w:rsidRPr="00B35A26">
              <w:rPr>
                <w:rFonts w:ascii="Arial" w:hAnsi="Arial" w:cs="Arial"/>
                <w:sz w:val="22"/>
                <w:szCs w:val="22"/>
                <w:lang w:val="en-AU"/>
              </w:rPr>
              <w:t xml:space="preserve"> to be incorporated into the “</w:t>
            </w:r>
            <w:hyperlink r:id="rId8">
              <w:r w:rsidRPr="00B35A26">
                <w:rPr>
                  <w:rStyle w:val="Hyperlink"/>
                  <w:rFonts w:ascii="Arial" w:hAnsi="Arial" w:cs="Arial"/>
                  <w:sz w:val="22"/>
                  <w:szCs w:val="22"/>
                  <w:lang w:val="en-AU"/>
                </w:rPr>
                <w:t>blue-green infrastructure</w:t>
              </w:r>
            </w:hyperlink>
            <w:r w:rsidRPr="00B35A26">
              <w:rPr>
                <w:rFonts w:ascii="Arial" w:hAnsi="Arial" w:cs="Arial"/>
                <w:sz w:val="22"/>
                <w:szCs w:val="22"/>
                <w:lang w:val="en-AU"/>
              </w:rPr>
              <w:t xml:space="preserve">”. TNC is also engaging stakeholders through workshops to quantify </w:t>
            </w:r>
            <w:proofErr w:type="spellStart"/>
            <w:r w:rsidRPr="00B35A26">
              <w:rPr>
                <w:rFonts w:ascii="Arial" w:hAnsi="Arial" w:cs="Arial"/>
                <w:sz w:val="22"/>
                <w:szCs w:val="22"/>
                <w:lang w:val="en-AU"/>
              </w:rPr>
              <w:t>NbS’</w:t>
            </w:r>
            <w:proofErr w:type="spellEnd"/>
            <w:r w:rsidRPr="00B35A26">
              <w:rPr>
                <w:rFonts w:ascii="Arial" w:hAnsi="Arial" w:cs="Arial"/>
                <w:sz w:val="22"/>
                <w:szCs w:val="22"/>
                <w:lang w:val="en-AU"/>
              </w:rPr>
              <w:t xml:space="preserve"> socio-economic benefits, including avoided damage costs and willingness-to-pay for restoration that reduces maintenance costs.</w:t>
            </w:r>
          </w:p>
          <w:p w14:paraId="58A12787" w14:textId="592685AC" w:rsidR="00D5028C" w:rsidRPr="00B35A26" w:rsidRDefault="00D5028C" w:rsidP="28DDECC3">
            <w:pPr>
              <w:rPr>
                <w:rFonts w:ascii="Arial" w:hAnsi="Arial" w:cs="Arial"/>
                <w:sz w:val="22"/>
                <w:szCs w:val="22"/>
                <w:lang w:val="en-NZ"/>
              </w:rPr>
            </w:pPr>
          </w:p>
          <w:p w14:paraId="71EA4939" w14:textId="0D39C5AE" w:rsidR="00D5028C" w:rsidRPr="00B35A26" w:rsidRDefault="35D57B85" w:rsidP="28DDECC3">
            <w:pPr>
              <w:rPr>
                <w:rFonts w:ascii="Arial" w:hAnsi="Arial" w:cs="Arial"/>
                <w:sz w:val="22"/>
                <w:szCs w:val="22"/>
                <w:lang w:val="en-NZ"/>
              </w:rPr>
            </w:pPr>
            <w:r w:rsidRPr="00B35A26">
              <w:rPr>
                <w:rFonts w:ascii="Arial" w:hAnsi="Arial" w:cs="Arial"/>
                <w:sz w:val="22"/>
                <w:szCs w:val="22"/>
                <w:lang w:val="en-NZ"/>
              </w:rPr>
              <w:t>The session will also outline another example from Asia Pacific, in Aotearoa New Zealand. TNC has supported the development of a </w:t>
            </w:r>
            <w:r w:rsidRPr="00B35A26">
              <w:rPr>
                <w:rFonts w:ascii="Arial" w:hAnsi="Arial" w:cs="Arial"/>
                <w:i/>
                <w:iCs/>
                <w:sz w:val="22"/>
                <w:szCs w:val="22"/>
                <w:lang w:val="en-NZ"/>
              </w:rPr>
              <w:t xml:space="preserve">Sustainable Development Verified Impact Standard (SD </w:t>
            </w:r>
            <w:proofErr w:type="spellStart"/>
            <w:r w:rsidRPr="00B35A26">
              <w:rPr>
                <w:rFonts w:ascii="Arial" w:hAnsi="Arial" w:cs="Arial"/>
                <w:i/>
                <w:iCs/>
                <w:sz w:val="22"/>
                <w:szCs w:val="22"/>
                <w:lang w:val="en-NZ"/>
              </w:rPr>
              <w:t>VISta</w:t>
            </w:r>
            <w:proofErr w:type="spellEnd"/>
            <w:r w:rsidRPr="00B35A26">
              <w:rPr>
                <w:rFonts w:ascii="Arial" w:hAnsi="Arial" w:cs="Arial"/>
                <w:i/>
                <w:iCs/>
                <w:sz w:val="22"/>
                <w:szCs w:val="22"/>
                <w:lang w:val="en-NZ"/>
              </w:rPr>
              <w:t>) Methodology for Coastal Resilience Benefits from Restoration and Protection of Mangroves and Tidal Marshes</w:t>
            </w:r>
            <w:r w:rsidRPr="00B35A26">
              <w:rPr>
                <w:rFonts w:ascii="Arial" w:hAnsi="Arial" w:cs="Arial"/>
                <w:sz w:val="22"/>
                <w:szCs w:val="22"/>
                <w:lang w:val="en-NZ"/>
              </w:rPr>
              <w:t xml:space="preserve"> (the SD </w:t>
            </w:r>
            <w:proofErr w:type="spellStart"/>
            <w:r w:rsidRPr="00B35A26">
              <w:rPr>
                <w:rFonts w:ascii="Arial" w:hAnsi="Arial" w:cs="Arial"/>
                <w:sz w:val="22"/>
                <w:szCs w:val="22"/>
                <w:lang w:val="en-NZ"/>
              </w:rPr>
              <w:t>VISta</w:t>
            </w:r>
            <w:proofErr w:type="spellEnd"/>
            <w:r w:rsidRPr="00B35A26">
              <w:rPr>
                <w:rFonts w:ascii="Arial" w:hAnsi="Arial" w:cs="Arial"/>
                <w:sz w:val="22"/>
                <w:szCs w:val="22"/>
                <w:lang w:val="en-NZ"/>
              </w:rPr>
              <w:t xml:space="preserve"> methodology). This methodology is intended to provide a framework for land managers to obtain tradeable ‘Resilience Assets’ when they reduce the risk of impacts of climate-related hazards and natural disasters on communities by restoring or </w:t>
            </w:r>
            <w:r w:rsidRPr="00B35A26">
              <w:rPr>
                <w:rFonts w:ascii="Arial" w:hAnsi="Arial" w:cs="Arial"/>
                <w:sz w:val="22"/>
                <w:szCs w:val="22"/>
                <w:lang w:val="en-NZ"/>
              </w:rPr>
              <w:lastRenderedPageBreak/>
              <w:t>preserving specific coastal ecosystems. As part of finalising the methodology, TNC has supported a small number of case studies around the globe to test the method’s applicability in different geographic contexts.</w:t>
            </w:r>
          </w:p>
          <w:p w14:paraId="4407FB9B" w14:textId="77777777" w:rsidR="00D5028C" w:rsidRPr="00B35A26" w:rsidRDefault="00D5028C" w:rsidP="28DDECC3">
            <w:pPr>
              <w:rPr>
                <w:rFonts w:ascii="Arial" w:hAnsi="Arial" w:cs="Arial"/>
                <w:sz w:val="22"/>
                <w:szCs w:val="22"/>
                <w:lang w:val="en-NZ"/>
              </w:rPr>
            </w:pPr>
          </w:p>
          <w:p w14:paraId="014C325E" w14:textId="77777777" w:rsidR="00D5028C" w:rsidRPr="00B35A26" w:rsidRDefault="28DDECC3" w:rsidP="28DDECC3">
            <w:pPr>
              <w:rPr>
                <w:rFonts w:ascii="Arial" w:hAnsi="Arial" w:cs="Arial"/>
                <w:sz w:val="22"/>
                <w:szCs w:val="22"/>
                <w:lang w:val="en-NZ"/>
              </w:rPr>
            </w:pPr>
            <w:r w:rsidRPr="00B35A26">
              <w:rPr>
                <w:rFonts w:ascii="Arial" w:hAnsi="Arial" w:cs="Arial"/>
                <w:sz w:val="22"/>
                <w:szCs w:val="22"/>
                <w:lang w:val="en-NZ"/>
              </w:rPr>
              <w:t xml:space="preserve">In Aotearoa New Zealand, the methodology was used to evaluate the resilience benefits of hypothetical wetland restoration in rural areas, specifically in two regions, Firth of Thames and Bay of Plenty, which have extensive areas of drained saltmarsh. This involved designing scenarios to model coastal flooding resilience benefits from wetland restoration. However, the methodology encountered significant challenges due to the influence of existing flood management schemes and low property values in sparsely populated areas. In one carefully designed scenario, we were able to model improved flood resilience arising from mangrove restoration, reducing the probability of </w:t>
            </w:r>
            <w:proofErr w:type="spellStart"/>
            <w:r w:rsidRPr="00B35A26">
              <w:rPr>
                <w:rFonts w:ascii="Arial" w:hAnsi="Arial" w:cs="Arial"/>
                <w:sz w:val="22"/>
                <w:szCs w:val="22"/>
                <w:lang w:val="en-NZ"/>
              </w:rPr>
              <w:t>stopbank</w:t>
            </w:r>
            <w:proofErr w:type="spellEnd"/>
            <w:r w:rsidRPr="00B35A26">
              <w:rPr>
                <w:rFonts w:ascii="Arial" w:hAnsi="Arial" w:cs="Arial"/>
                <w:sz w:val="22"/>
                <w:szCs w:val="22"/>
                <w:lang w:val="en-NZ"/>
              </w:rPr>
              <w:t xml:space="preserve"> failure – but this was the exception, not the norm. Future work should focus on designing a methodology, specifically for Aotearoa New Zealand, that is suitable for rural areas and integrates grey-blue infrastructure to create sustainable flood management systems. In doing so, Aotearoa New Zealand can become a model for enabling rural coastal resilience, demonstrating the efficacy of innovative, adaptive methodologies in safeguarding both people and nature.</w:t>
            </w:r>
          </w:p>
          <w:p w14:paraId="0683CF46" w14:textId="6517AEFE" w:rsidR="00D5028C" w:rsidRPr="00B35A26" w:rsidRDefault="28DDECC3" w:rsidP="28DDECC3">
            <w:pPr>
              <w:rPr>
                <w:rFonts w:ascii="Arial" w:hAnsi="Arial" w:cs="Arial"/>
                <w:sz w:val="22"/>
                <w:szCs w:val="22"/>
                <w:lang w:val="en-AU"/>
              </w:rPr>
            </w:pPr>
            <w:r w:rsidRPr="00B35A26">
              <w:rPr>
                <w:rFonts w:ascii="Arial" w:hAnsi="Arial" w:cs="Arial"/>
                <w:sz w:val="22"/>
                <w:szCs w:val="22"/>
                <w:lang w:val="en-AU"/>
              </w:rPr>
              <w:t xml:space="preserve"> </w:t>
            </w:r>
          </w:p>
          <w:p w14:paraId="0EC1BE9C" w14:textId="196DDE69" w:rsidR="00D5028C" w:rsidRPr="00B35A26" w:rsidRDefault="3B47750A" w:rsidP="28DDECC3">
            <w:pPr>
              <w:rPr>
                <w:rFonts w:ascii="Arial" w:hAnsi="Arial" w:cs="Arial"/>
                <w:sz w:val="22"/>
                <w:szCs w:val="22"/>
                <w:lang w:val="en-AU"/>
              </w:rPr>
            </w:pPr>
            <w:r w:rsidRPr="00B35A26">
              <w:rPr>
                <w:rFonts w:ascii="Arial" w:hAnsi="Arial" w:cs="Arial"/>
                <w:sz w:val="22"/>
                <w:szCs w:val="22"/>
                <w:lang w:val="en-AU"/>
              </w:rPr>
              <w:t xml:space="preserve">The session will present </w:t>
            </w:r>
            <w:proofErr w:type="gramStart"/>
            <w:r w:rsidRPr="00B35A26">
              <w:rPr>
                <w:rFonts w:ascii="Arial" w:hAnsi="Arial" w:cs="Arial"/>
                <w:sz w:val="22"/>
                <w:szCs w:val="22"/>
                <w:lang w:val="en-AU"/>
              </w:rPr>
              <w:t>both of these</w:t>
            </w:r>
            <w:proofErr w:type="gramEnd"/>
            <w:r w:rsidRPr="00B35A26">
              <w:rPr>
                <w:rFonts w:ascii="Arial" w:hAnsi="Arial" w:cs="Arial"/>
                <w:sz w:val="22"/>
                <w:szCs w:val="22"/>
                <w:lang w:val="en-AU"/>
              </w:rPr>
              <w:t xml:space="preserve"> examples in a knowledge cafe format that allows for participants to ask questions and share their own case studies and lessons learned</w:t>
            </w:r>
            <w:r w:rsidRPr="00B35A26">
              <w:rPr>
                <w:rFonts w:ascii="Arial" w:hAnsi="Arial" w:cs="Arial"/>
                <w:sz w:val="22"/>
                <w:szCs w:val="22"/>
              </w:rPr>
              <w:t xml:space="preserve"> for financing protection and improved management of coastal wetlands and other blue carbon ecosystems for resilience benefits. </w:t>
            </w:r>
          </w:p>
          <w:p w14:paraId="34B52446" w14:textId="77777777" w:rsidR="00D5028C" w:rsidRPr="00B35A26" w:rsidRDefault="00D5028C" w:rsidP="28DDECC3">
            <w:pPr>
              <w:rPr>
                <w:rFonts w:ascii="Arial" w:hAnsi="Arial" w:cs="Arial"/>
                <w:b/>
                <w:bCs/>
                <w:sz w:val="22"/>
                <w:szCs w:val="22"/>
              </w:rPr>
            </w:pPr>
          </w:p>
          <w:p w14:paraId="727FC771" w14:textId="4729A25D" w:rsidR="004A3628" w:rsidRPr="00B35A26" w:rsidRDefault="004A3628" w:rsidP="28DDECC3">
            <w:pPr>
              <w:jc w:val="both"/>
              <w:rPr>
                <w:rFonts w:ascii="Arial" w:hAnsi="Arial" w:cs="Arial"/>
                <w:sz w:val="22"/>
                <w:szCs w:val="22"/>
              </w:rPr>
            </w:pPr>
          </w:p>
          <w:p w14:paraId="2B13348F" w14:textId="77777777" w:rsidR="004A3628" w:rsidRPr="00B35A26" w:rsidRDefault="004A3628" w:rsidP="28DDECC3">
            <w:pPr>
              <w:jc w:val="both"/>
              <w:rPr>
                <w:rFonts w:ascii="Arial" w:hAnsi="Arial" w:cs="Arial"/>
                <w:b/>
                <w:bCs/>
                <w:sz w:val="22"/>
                <w:szCs w:val="22"/>
              </w:rPr>
            </w:pPr>
          </w:p>
        </w:tc>
      </w:tr>
      <w:tr w:rsidR="004A3628" w:rsidRPr="00B35A26" w14:paraId="5608F54F" w14:textId="77777777" w:rsidTr="3B47750A">
        <w:trPr>
          <w:trHeight w:val="576"/>
        </w:trPr>
        <w:tc>
          <w:tcPr>
            <w:tcW w:w="8640" w:type="dxa"/>
          </w:tcPr>
          <w:p w14:paraId="5889B717" w14:textId="77777777" w:rsidR="004A3628" w:rsidRPr="00B35A26" w:rsidRDefault="28DDECC3" w:rsidP="28DDECC3">
            <w:pPr>
              <w:jc w:val="both"/>
              <w:rPr>
                <w:rFonts w:ascii="Arial" w:hAnsi="Arial" w:cs="Arial"/>
                <w:b/>
                <w:bCs/>
                <w:sz w:val="22"/>
                <w:szCs w:val="22"/>
              </w:rPr>
            </w:pPr>
            <w:r w:rsidRPr="00B35A26">
              <w:rPr>
                <w:rFonts w:ascii="Arial" w:hAnsi="Arial" w:cs="Arial"/>
                <w:b/>
                <w:bCs/>
                <w:sz w:val="22"/>
                <w:szCs w:val="22"/>
              </w:rPr>
              <w:lastRenderedPageBreak/>
              <w:t>PARTICIPANTS</w:t>
            </w:r>
          </w:p>
          <w:p w14:paraId="3641C15A" w14:textId="77777777" w:rsidR="004A3628" w:rsidRPr="00B35A26" w:rsidRDefault="004A3628" w:rsidP="28DDECC3">
            <w:pPr>
              <w:jc w:val="both"/>
              <w:rPr>
                <w:rFonts w:ascii="Arial" w:hAnsi="Arial" w:cs="Arial"/>
                <w:b/>
                <w:bCs/>
                <w:sz w:val="22"/>
                <w:szCs w:val="22"/>
              </w:rPr>
            </w:pPr>
          </w:p>
          <w:p w14:paraId="13A364ED" w14:textId="77777777" w:rsidR="004A3628" w:rsidRPr="00B35A26" w:rsidRDefault="28DDECC3" w:rsidP="28DDECC3">
            <w:pPr>
              <w:jc w:val="both"/>
              <w:rPr>
                <w:rFonts w:ascii="Arial" w:hAnsi="Arial" w:cs="Arial"/>
                <w:b/>
                <w:bCs/>
                <w:sz w:val="22"/>
                <w:szCs w:val="22"/>
                <w:u w:val="single"/>
              </w:rPr>
            </w:pPr>
            <w:r w:rsidRPr="00B35A26">
              <w:rPr>
                <w:rFonts w:ascii="Arial" w:hAnsi="Arial" w:cs="Arial"/>
                <w:b/>
                <w:bCs/>
                <w:sz w:val="22"/>
                <w:szCs w:val="22"/>
                <w:u w:val="single"/>
              </w:rPr>
              <w:t>Participant 1</w:t>
            </w:r>
          </w:p>
          <w:p w14:paraId="7E6399A8" w14:textId="3B4EA390" w:rsidR="004A3628" w:rsidRPr="00B35A26" w:rsidRDefault="28DDECC3" w:rsidP="28DDECC3">
            <w:pPr>
              <w:jc w:val="both"/>
              <w:rPr>
                <w:rFonts w:ascii="Arial" w:hAnsi="Arial" w:cs="Arial"/>
                <w:b/>
                <w:bCs/>
                <w:sz w:val="22"/>
                <w:szCs w:val="22"/>
              </w:rPr>
            </w:pPr>
            <w:r w:rsidRPr="00B35A26">
              <w:rPr>
                <w:rFonts w:ascii="Arial" w:hAnsi="Arial" w:cs="Arial"/>
                <w:b/>
                <w:bCs/>
                <w:sz w:val="22"/>
                <w:szCs w:val="22"/>
              </w:rPr>
              <w:t>Full Name: Lulu Zhou</w:t>
            </w:r>
          </w:p>
          <w:p w14:paraId="4E0ABFC3" w14:textId="5BCC1070" w:rsidR="004A3628" w:rsidRPr="00B35A26" w:rsidRDefault="28DDECC3" w:rsidP="28DDECC3">
            <w:pPr>
              <w:jc w:val="both"/>
              <w:rPr>
                <w:rFonts w:ascii="Arial" w:hAnsi="Arial" w:cs="Arial"/>
                <w:b/>
                <w:bCs/>
                <w:sz w:val="22"/>
                <w:szCs w:val="22"/>
              </w:rPr>
            </w:pPr>
            <w:r w:rsidRPr="00B35A26">
              <w:rPr>
                <w:rFonts w:ascii="Arial" w:hAnsi="Arial" w:cs="Arial"/>
                <w:b/>
                <w:bCs/>
                <w:sz w:val="22"/>
                <w:szCs w:val="22"/>
              </w:rPr>
              <w:t>Organisation: The Nature Conservancy</w:t>
            </w:r>
          </w:p>
          <w:p w14:paraId="0D6B6DE4" w14:textId="5138A437" w:rsidR="004A3628" w:rsidRPr="00B35A26" w:rsidRDefault="28DDECC3" w:rsidP="28DDECC3">
            <w:pPr>
              <w:jc w:val="both"/>
              <w:rPr>
                <w:rFonts w:ascii="Arial" w:hAnsi="Arial" w:cs="Arial"/>
                <w:b/>
                <w:bCs/>
                <w:sz w:val="22"/>
                <w:szCs w:val="22"/>
              </w:rPr>
            </w:pPr>
            <w:r w:rsidRPr="00B35A26">
              <w:rPr>
                <w:rFonts w:ascii="Arial" w:hAnsi="Arial" w:cs="Arial"/>
                <w:b/>
                <w:bCs/>
                <w:sz w:val="22"/>
                <w:szCs w:val="22"/>
              </w:rPr>
              <w:t>Bio</w:t>
            </w:r>
            <w:r w:rsidR="00B35A26" w:rsidRPr="00B35A26">
              <w:rPr>
                <w:rFonts w:ascii="Arial" w:hAnsi="Arial" w:cs="Arial"/>
                <w:b/>
                <w:bCs/>
                <w:sz w:val="22"/>
                <w:szCs w:val="22"/>
              </w:rPr>
              <w:t>:</w:t>
            </w:r>
            <w:r w:rsidRPr="00B35A26">
              <w:rPr>
                <w:rFonts w:ascii="Arial" w:hAnsi="Arial" w:cs="Arial"/>
                <w:b/>
                <w:bCs/>
                <w:sz w:val="22"/>
                <w:szCs w:val="22"/>
              </w:rPr>
              <w:t xml:space="preserve"> </w:t>
            </w:r>
          </w:p>
          <w:p w14:paraId="2FBD1595" w14:textId="43D2B698" w:rsidR="3A4AD9B4" w:rsidRPr="00B35A26" w:rsidRDefault="3B47750A" w:rsidP="3B47750A">
            <w:pPr>
              <w:spacing w:after="160" w:line="257" w:lineRule="auto"/>
              <w:jc w:val="both"/>
              <w:rPr>
                <w:rFonts w:ascii="Arial" w:hAnsi="Arial" w:cs="Arial"/>
                <w:sz w:val="22"/>
                <w:szCs w:val="22"/>
              </w:rPr>
            </w:pPr>
            <w:r w:rsidRPr="00B35A26">
              <w:rPr>
                <w:rFonts w:ascii="Arial" w:hAnsi="Arial" w:cs="Arial"/>
                <w:sz w:val="22"/>
                <w:szCs w:val="22"/>
              </w:rPr>
              <w:t>Lulu Zhou is Director of Strategic Partnerships for Climate Resilience, Asia Pacific. Prior to this, she was TNC’s Director, Strategic Partnerships (Asia Pacific) and Hong Kong Program Lead. Before joining TNC, Ms. Zhou worked at the UN Foundation. She holds a BA in Tourism Management MS in Conservation Social Sciences.</w:t>
            </w:r>
          </w:p>
          <w:p w14:paraId="5A56FDEA" w14:textId="77777777" w:rsidR="004A3628" w:rsidRPr="00B35A26" w:rsidRDefault="004A3628" w:rsidP="28DDECC3">
            <w:pPr>
              <w:jc w:val="both"/>
              <w:rPr>
                <w:rFonts w:ascii="Arial" w:hAnsi="Arial" w:cs="Arial"/>
                <w:b/>
                <w:bCs/>
                <w:sz w:val="22"/>
                <w:szCs w:val="22"/>
              </w:rPr>
            </w:pPr>
          </w:p>
          <w:p w14:paraId="5657E8AD" w14:textId="77777777" w:rsidR="004A3628" w:rsidRPr="00B35A26" w:rsidRDefault="28DDECC3" w:rsidP="28DDECC3">
            <w:pPr>
              <w:jc w:val="both"/>
              <w:rPr>
                <w:rFonts w:ascii="Arial" w:hAnsi="Arial" w:cs="Arial"/>
                <w:b/>
                <w:bCs/>
                <w:sz w:val="22"/>
                <w:szCs w:val="22"/>
                <w:u w:val="single"/>
              </w:rPr>
            </w:pPr>
            <w:r w:rsidRPr="00B35A26">
              <w:rPr>
                <w:rFonts w:ascii="Arial" w:hAnsi="Arial" w:cs="Arial"/>
                <w:b/>
                <w:bCs/>
                <w:sz w:val="22"/>
                <w:szCs w:val="22"/>
                <w:u w:val="single"/>
              </w:rPr>
              <w:t>Participant 2</w:t>
            </w:r>
          </w:p>
          <w:p w14:paraId="0586198E" w14:textId="1594B49B" w:rsidR="004A3628" w:rsidRPr="00B35A26" w:rsidRDefault="28DDECC3" w:rsidP="28DDECC3">
            <w:pPr>
              <w:jc w:val="both"/>
              <w:rPr>
                <w:rFonts w:ascii="Arial" w:hAnsi="Arial" w:cs="Arial"/>
                <w:b/>
                <w:bCs/>
                <w:sz w:val="22"/>
                <w:szCs w:val="22"/>
              </w:rPr>
            </w:pPr>
            <w:r w:rsidRPr="00B35A26">
              <w:rPr>
                <w:rFonts w:ascii="Arial" w:hAnsi="Arial" w:cs="Arial"/>
                <w:b/>
                <w:bCs/>
                <w:sz w:val="22"/>
                <w:szCs w:val="22"/>
              </w:rPr>
              <w:t>Full Name: Laura Whitford</w:t>
            </w:r>
          </w:p>
          <w:p w14:paraId="048F14DC" w14:textId="5C1ACF6C" w:rsidR="004A3628" w:rsidRPr="00B35A26" w:rsidRDefault="28DDECC3" w:rsidP="28DDECC3">
            <w:pPr>
              <w:jc w:val="both"/>
              <w:rPr>
                <w:rFonts w:ascii="Arial" w:hAnsi="Arial" w:cs="Arial"/>
                <w:b/>
                <w:bCs/>
                <w:sz w:val="22"/>
                <w:szCs w:val="22"/>
              </w:rPr>
            </w:pPr>
            <w:r w:rsidRPr="00B35A26">
              <w:rPr>
                <w:rFonts w:ascii="Arial" w:hAnsi="Arial" w:cs="Arial"/>
                <w:b/>
                <w:bCs/>
                <w:sz w:val="22"/>
                <w:szCs w:val="22"/>
              </w:rPr>
              <w:t>Organisation: The Nature Conservancy</w:t>
            </w:r>
          </w:p>
          <w:p w14:paraId="001FFF36" w14:textId="0524F948" w:rsidR="004A3628" w:rsidRPr="00B35A26" w:rsidRDefault="28DDECC3" w:rsidP="28DDECC3">
            <w:pPr>
              <w:jc w:val="both"/>
              <w:rPr>
                <w:rFonts w:ascii="Arial" w:hAnsi="Arial" w:cs="Arial"/>
                <w:b/>
                <w:bCs/>
                <w:sz w:val="22"/>
                <w:szCs w:val="22"/>
              </w:rPr>
            </w:pPr>
            <w:r w:rsidRPr="00B35A26">
              <w:rPr>
                <w:rFonts w:ascii="Arial" w:hAnsi="Arial" w:cs="Arial"/>
                <w:b/>
                <w:bCs/>
                <w:sz w:val="22"/>
                <w:szCs w:val="22"/>
              </w:rPr>
              <w:t>Bio</w:t>
            </w:r>
            <w:r w:rsidR="00B35A26" w:rsidRPr="00B35A26">
              <w:rPr>
                <w:rFonts w:ascii="Arial" w:hAnsi="Arial" w:cs="Arial"/>
                <w:b/>
                <w:bCs/>
                <w:sz w:val="22"/>
                <w:szCs w:val="22"/>
              </w:rPr>
              <w:t>:</w:t>
            </w:r>
            <w:r w:rsidRPr="00B35A26">
              <w:rPr>
                <w:rFonts w:ascii="Arial" w:hAnsi="Arial" w:cs="Arial"/>
                <w:b/>
                <w:bCs/>
                <w:sz w:val="22"/>
                <w:szCs w:val="22"/>
              </w:rPr>
              <w:t xml:space="preserve"> </w:t>
            </w:r>
          </w:p>
          <w:p w14:paraId="7C84F113" w14:textId="4B6BED3B" w:rsidR="3A4AD9B4" w:rsidRPr="00B35A26" w:rsidRDefault="3B47750A" w:rsidP="3B47750A">
            <w:pPr>
              <w:spacing w:after="160" w:line="257" w:lineRule="auto"/>
              <w:jc w:val="both"/>
              <w:rPr>
                <w:rFonts w:ascii="Arial" w:hAnsi="Arial" w:cs="Arial"/>
                <w:sz w:val="22"/>
                <w:szCs w:val="22"/>
              </w:rPr>
            </w:pPr>
            <w:r w:rsidRPr="00B35A26">
              <w:rPr>
                <w:rFonts w:ascii="Arial" w:hAnsi="Arial" w:cs="Arial"/>
                <w:sz w:val="22"/>
                <w:szCs w:val="22"/>
              </w:rPr>
              <w:t>Laura Whitford oversees TNC’s global adaptation finance and partnerships efforts. She has worked in Asia Pacific for over 20 years on partnerships, policies and programs focused on sustainable resource management, climate adaptation, equity and economic development. She has graduate degrees in Environmental Management and International Development, Communication and Psychology.</w:t>
            </w:r>
          </w:p>
          <w:p w14:paraId="1D14EFA0" w14:textId="7C2D7D47" w:rsidR="3A4AD9B4" w:rsidRPr="00B35A26" w:rsidRDefault="3A4AD9B4" w:rsidP="3A4AD9B4">
            <w:pPr>
              <w:jc w:val="both"/>
              <w:rPr>
                <w:rFonts w:ascii="Arial" w:hAnsi="Arial" w:cs="Arial"/>
                <w:b/>
                <w:bCs/>
                <w:sz w:val="22"/>
                <w:szCs w:val="22"/>
              </w:rPr>
            </w:pPr>
          </w:p>
          <w:p w14:paraId="1ACCC1C4" w14:textId="1767BE01" w:rsidR="004A3628" w:rsidRPr="00B35A26" w:rsidRDefault="004A3628" w:rsidP="28DDECC3">
            <w:pPr>
              <w:jc w:val="both"/>
              <w:rPr>
                <w:rFonts w:ascii="Arial" w:hAnsi="Arial" w:cs="Arial"/>
                <w:sz w:val="22"/>
                <w:szCs w:val="22"/>
              </w:rPr>
            </w:pPr>
          </w:p>
          <w:p w14:paraId="0090019B" w14:textId="1017338E" w:rsidR="00B74AC2" w:rsidRDefault="00B74AC2" w:rsidP="00FC33F7">
            <w:pPr>
              <w:rPr>
                <w:rFonts w:ascii="Arial" w:hAnsi="Arial" w:cs="Arial"/>
                <w:sz w:val="22"/>
                <w:szCs w:val="22"/>
              </w:rPr>
            </w:pPr>
            <w:r w:rsidRPr="00B35A26">
              <w:rPr>
                <w:rFonts w:ascii="Arial" w:hAnsi="Arial" w:cs="Arial"/>
                <w:sz w:val="22"/>
                <w:szCs w:val="22"/>
              </w:rPr>
              <w:lastRenderedPageBreak/>
              <w:br/>
            </w:r>
            <w:r w:rsidR="28DDECC3" w:rsidRPr="00B35A26">
              <w:rPr>
                <w:rFonts w:ascii="Arial" w:hAnsi="Arial" w:cs="Arial"/>
                <w:b/>
                <w:bCs/>
                <w:sz w:val="22"/>
                <w:szCs w:val="22"/>
              </w:rPr>
              <w:t>Participant 3</w:t>
            </w:r>
            <w:r w:rsidRPr="00B35A26">
              <w:rPr>
                <w:rFonts w:ascii="Arial" w:hAnsi="Arial" w:cs="Arial"/>
                <w:sz w:val="22"/>
                <w:szCs w:val="22"/>
              </w:rPr>
              <w:br/>
            </w:r>
            <w:r w:rsidR="28DDECC3" w:rsidRPr="00B35A26">
              <w:rPr>
                <w:rFonts w:ascii="Arial" w:hAnsi="Arial" w:cs="Arial"/>
                <w:b/>
                <w:bCs/>
                <w:sz w:val="22"/>
                <w:szCs w:val="22"/>
              </w:rPr>
              <w:t>Full Name:</w:t>
            </w:r>
            <w:r w:rsidR="28DDECC3" w:rsidRPr="00B35A26">
              <w:rPr>
                <w:rFonts w:ascii="Arial" w:hAnsi="Arial" w:cs="Arial"/>
                <w:sz w:val="22"/>
                <w:szCs w:val="22"/>
              </w:rPr>
              <w:t xml:space="preserve"> Olya Albot </w:t>
            </w:r>
            <w:r w:rsidRPr="00B35A26">
              <w:rPr>
                <w:rFonts w:ascii="Arial" w:hAnsi="Arial" w:cs="Arial"/>
                <w:sz w:val="22"/>
                <w:szCs w:val="22"/>
              </w:rPr>
              <w:br/>
            </w:r>
            <w:r w:rsidR="28DDECC3" w:rsidRPr="00B35A26">
              <w:rPr>
                <w:rFonts w:ascii="Arial" w:hAnsi="Arial" w:cs="Arial"/>
                <w:b/>
                <w:bCs/>
                <w:sz w:val="22"/>
                <w:szCs w:val="22"/>
              </w:rPr>
              <w:t>Organisation:</w:t>
            </w:r>
            <w:r w:rsidR="28DDECC3" w:rsidRPr="00B35A26">
              <w:rPr>
                <w:rFonts w:ascii="Arial" w:hAnsi="Arial" w:cs="Arial"/>
                <w:sz w:val="22"/>
                <w:szCs w:val="22"/>
              </w:rPr>
              <w:t xml:space="preserve"> The Nature Conservancy Aotearoa New Zealand </w:t>
            </w:r>
            <w:r w:rsidRPr="00B35A26">
              <w:rPr>
                <w:rFonts w:ascii="Arial" w:hAnsi="Arial" w:cs="Arial"/>
                <w:sz w:val="22"/>
                <w:szCs w:val="22"/>
              </w:rPr>
              <w:br/>
            </w:r>
            <w:r w:rsidR="28DDECC3" w:rsidRPr="00B35A26">
              <w:rPr>
                <w:rFonts w:ascii="Arial" w:hAnsi="Arial" w:cs="Arial"/>
                <w:b/>
                <w:bCs/>
                <w:sz w:val="22"/>
                <w:szCs w:val="22"/>
              </w:rPr>
              <w:t>Bio:</w:t>
            </w:r>
            <w:r w:rsidR="28DDECC3" w:rsidRPr="00B35A26">
              <w:rPr>
                <w:rFonts w:ascii="Arial" w:hAnsi="Arial" w:cs="Arial"/>
                <w:sz w:val="22"/>
                <w:szCs w:val="22"/>
              </w:rPr>
              <w:t xml:space="preserve"> Olya is a Nature-based Solutions Project Manager overseeing the delivery of the blue carbon and teal carbon workstreams. Olya’s primary focus is working with TNC’s iwi-hapū partners, local communities, researchers and government to showcase Aotearoa’s first coastal wetland and peatland restoration projects, supported by carbon and nature markets.  </w:t>
            </w:r>
          </w:p>
          <w:p w14:paraId="1B30A3CC" w14:textId="77777777" w:rsidR="00B35A26" w:rsidRPr="00B35A26" w:rsidRDefault="00B35A26" w:rsidP="00FC33F7">
            <w:pPr>
              <w:rPr>
                <w:rFonts w:ascii="Arial" w:hAnsi="Arial" w:cs="Arial"/>
                <w:sz w:val="22"/>
                <w:szCs w:val="22"/>
              </w:rPr>
            </w:pPr>
          </w:p>
          <w:p w14:paraId="7D37857D" w14:textId="70C85314" w:rsidR="004A3628" w:rsidRPr="00B35A26" w:rsidRDefault="28DDECC3" w:rsidP="00B35A26">
            <w:pPr>
              <w:rPr>
                <w:rFonts w:ascii="Arial" w:hAnsi="Arial" w:cs="Arial"/>
                <w:sz w:val="22"/>
                <w:szCs w:val="22"/>
              </w:rPr>
            </w:pPr>
            <w:r w:rsidRPr="00B35A26">
              <w:rPr>
                <w:rFonts w:ascii="Arial" w:hAnsi="Arial" w:cs="Arial"/>
                <w:b/>
                <w:bCs/>
                <w:sz w:val="22"/>
                <w:szCs w:val="22"/>
              </w:rPr>
              <w:t>Participant 3 Contribution</w:t>
            </w:r>
            <w:r w:rsidRPr="00B35A26">
              <w:rPr>
                <w:rFonts w:ascii="Arial" w:hAnsi="Arial" w:cs="Arial"/>
                <w:sz w:val="22"/>
                <w:szCs w:val="22"/>
              </w:rPr>
              <w:t>: Olya was actively involved in the design of the study for Aotearoa New Zealand, ensuring that the study framework aligned with TNC’s overarching goals and objectives. Additionally, Olya engaged with research partners, participated in Q&amp;A sessions, and facilitated discussions. Finally, Olya reviewed the final report to guarantee its accuracy and comprehensiveness.</w:t>
            </w:r>
            <w:r w:rsidR="007B1FA3" w:rsidRPr="00B35A26">
              <w:rPr>
                <w:rFonts w:ascii="Arial" w:hAnsi="Arial" w:cs="Arial"/>
                <w:sz w:val="22"/>
                <w:szCs w:val="22"/>
              </w:rPr>
              <w:br/>
            </w:r>
          </w:p>
        </w:tc>
      </w:tr>
    </w:tbl>
    <w:p w14:paraId="30B7BCEE" w14:textId="77777777" w:rsidR="004A3628" w:rsidRPr="00B35A26" w:rsidRDefault="004A3628" w:rsidP="004A3628">
      <w:pPr>
        <w:rPr>
          <w:rFonts w:ascii="Arial" w:hAnsi="Arial" w:cs="Arial"/>
          <w:sz w:val="22"/>
          <w:szCs w:val="22"/>
        </w:rPr>
      </w:pPr>
    </w:p>
    <w:p w14:paraId="6327ECBB" w14:textId="77777777" w:rsidR="00703A27" w:rsidRPr="00B35A26" w:rsidRDefault="00703A27">
      <w:pPr>
        <w:rPr>
          <w:rFonts w:ascii="Arial" w:hAnsi="Arial" w:cs="Arial"/>
          <w:sz w:val="22"/>
          <w:szCs w:val="22"/>
        </w:rPr>
      </w:pPr>
    </w:p>
    <w:sectPr w:rsidR="00703A27" w:rsidRPr="00B35A26"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C4585"/>
    <w:multiLevelType w:val="hybridMultilevel"/>
    <w:tmpl w:val="8C7E63D0"/>
    <w:lvl w:ilvl="0" w:tplc="B7BC403A">
      <w:start w:val="1"/>
      <w:numFmt w:val="decimal"/>
      <w:lvlText w:val="%1."/>
      <w:lvlJc w:val="left"/>
      <w:pPr>
        <w:ind w:left="166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0E82EA4">
      <w:numFmt w:val="bullet"/>
      <w:lvlText w:val="•"/>
      <w:lvlJc w:val="left"/>
      <w:pPr>
        <w:ind w:left="2618" w:hanging="360"/>
      </w:pPr>
      <w:rPr>
        <w:rFonts w:hint="default"/>
        <w:lang w:val="en-US" w:eastAsia="en-US" w:bidi="ar-SA"/>
      </w:rPr>
    </w:lvl>
    <w:lvl w:ilvl="2" w:tplc="9B720DE0">
      <w:numFmt w:val="bullet"/>
      <w:lvlText w:val="•"/>
      <w:lvlJc w:val="left"/>
      <w:pPr>
        <w:ind w:left="3576" w:hanging="360"/>
      </w:pPr>
      <w:rPr>
        <w:rFonts w:hint="default"/>
        <w:lang w:val="en-US" w:eastAsia="en-US" w:bidi="ar-SA"/>
      </w:rPr>
    </w:lvl>
    <w:lvl w:ilvl="3" w:tplc="99D29960">
      <w:numFmt w:val="bullet"/>
      <w:lvlText w:val="•"/>
      <w:lvlJc w:val="left"/>
      <w:pPr>
        <w:ind w:left="4534" w:hanging="360"/>
      </w:pPr>
      <w:rPr>
        <w:rFonts w:hint="default"/>
        <w:lang w:val="en-US" w:eastAsia="en-US" w:bidi="ar-SA"/>
      </w:rPr>
    </w:lvl>
    <w:lvl w:ilvl="4" w:tplc="6B54E93C">
      <w:numFmt w:val="bullet"/>
      <w:lvlText w:val="•"/>
      <w:lvlJc w:val="left"/>
      <w:pPr>
        <w:ind w:left="5492" w:hanging="360"/>
      </w:pPr>
      <w:rPr>
        <w:rFonts w:hint="default"/>
        <w:lang w:val="en-US" w:eastAsia="en-US" w:bidi="ar-SA"/>
      </w:rPr>
    </w:lvl>
    <w:lvl w:ilvl="5" w:tplc="2480A78E">
      <w:numFmt w:val="bullet"/>
      <w:lvlText w:val="•"/>
      <w:lvlJc w:val="left"/>
      <w:pPr>
        <w:ind w:left="6450" w:hanging="360"/>
      </w:pPr>
      <w:rPr>
        <w:rFonts w:hint="default"/>
        <w:lang w:val="en-US" w:eastAsia="en-US" w:bidi="ar-SA"/>
      </w:rPr>
    </w:lvl>
    <w:lvl w:ilvl="6" w:tplc="69E878AA">
      <w:numFmt w:val="bullet"/>
      <w:lvlText w:val="•"/>
      <w:lvlJc w:val="left"/>
      <w:pPr>
        <w:ind w:left="7408" w:hanging="360"/>
      </w:pPr>
      <w:rPr>
        <w:rFonts w:hint="default"/>
        <w:lang w:val="en-US" w:eastAsia="en-US" w:bidi="ar-SA"/>
      </w:rPr>
    </w:lvl>
    <w:lvl w:ilvl="7" w:tplc="8AA20D22">
      <w:numFmt w:val="bullet"/>
      <w:lvlText w:val="•"/>
      <w:lvlJc w:val="left"/>
      <w:pPr>
        <w:ind w:left="8366" w:hanging="360"/>
      </w:pPr>
      <w:rPr>
        <w:rFonts w:hint="default"/>
        <w:lang w:val="en-US" w:eastAsia="en-US" w:bidi="ar-SA"/>
      </w:rPr>
    </w:lvl>
    <w:lvl w:ilvl="8" w:tplc="3B6AAC94">
      <w:numFmt w:val="bullet"/>
      <w:lvlText w:val="•"/>
      <w:lvlJc w:val="left"/>
      <w:pPr>
        <w:ind w:left="9324" w:hanging="360"/>
      </w:pPr>
      <w:rPr>
        <w:rFonts w:hint="default"/>
        <w:lang w:val="en-US" w:eastAsia="en-US" w:bidi="ar-SA"/>
      </w:rPr>
    </w:lvl>
  </w:abstractNum>
  <w:abstractNum w:abstractNumId="1"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1"/>
  </w:num>
  <w:num w:numId="2" w16cid:durableId="125477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0160A"/>
    <w:rsid w:val="0006326B"/>
    <w:rsid w:val="000974CC"/>
    <w:rsid w:val="000B4D9D"/>
    <w:rsid w:val="000D0D6B"/>
    <w:rsid w:val="00155750"/>
    <w:rsid w:val="001B6228"/>
    <w:rsid w:val="001D6DDF"/>
    <w:rsid w:val="00231D10"/>
    <w:rsid w:val="002713FB"/>
    <w:rsid w:val="00344638"/>
    <w:rsid w:val="0036002E"/>
    <w:rsid w:val="0045299F"/>
    <w:rsid w:val="004942EE"/>
    <w:rsid w:val="004A3628"/>
    <w:rsid w:val="00515E1B"/>
    <w:rsid w:val="00583931"/>
    <w:rsid w:val="0070071E"/>
    <w:rsid w:val="00703A27"/>
    <w:rsid w:val="00722DC7"/>
    <w:rsid w:val="007B1FA3"/>
    <w:rsid w:val="007E3312"/>
    <w:rsid w:val="00843A7B"/>
    <w:rsid w:val="008A1FF5"/>
    <w:rsid w:val="00953FF4"/>
    <w:rsid w:val="00A751BC"/>
    <w:rsid w:val="00AA074A"/>
    <w:rsid w:val="00AD5263"/>
    <w:rsid w:val="00B35A26"/>
    <w:rsid w:val="00B41567"/>
    <w:rsid w:val="00B51191"/>
    <w:rsid w:val="00B74AC2"/>
    <w:rsid w:val="00B76030"/>
    <w:rsid w:val="00BF17A1"/>
    <w:rsid w:val="00C10F12"/>
    <w:rsid w:val="00C538A0"/>
    <w:rsid w:val="00D02F62"/>
    <w:rsid w:val="00D331FC"/>
    <w:rsid w:val="00D5028C"/>
    <w:rsid w:val="00D749E5"/>
    <w:rsid w:val="00DF202D"/>
    <w:rsid w:val="00EC2F94"/>
    <w:rsid w:val="00F818D6"/>
    <w:rsid w:val="00FC33F7"/>
    <w:rsid w:val="00FF303E"/>
    <w:rsid w:val="28DDECC3"/>
    <w:rsid w:val="35D57B85"/>
    <w:rsid w:val="3A4AD9B4"/>
    <w:rsid w:val="3B47750A"/>
    <w:rsid w:val="3C7C1730"/>
    <w:rsid w:val="4622D85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1"/>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CommentReference">
    <w:name w:val="annotation reference"/>
    <w:basedOn w:val="DefaultParagraphFont"/>
    <w:uiPriority w:val="99"/>
    <w:semiHidden/>
    <w:unhideWhenUsed/>
    <w:rsid w:val="00D5028C"/>
    <w:rPr>
      <w:sz w:val="16"/>
      <w:szCs w:val="16"/>
    </w:rPr>
  </w:style>
  <w:style w:type="paragraph" w:styleId="CommentText">
    <w:name w:val="annotation text"/>
    <w:basedOn w:val="Normal"/>
    <w:link w:val="CommentTextChar"/>
    <w:uiPriority w:val="99"/>
    <w:unhideWhenUsed/>
    <w:rsid w:val="00D5028C"/>
    <w:rPr>
      <w:sz w:val="20"/>
      <w:szCs w:val="20"/>
    </w:rPr>
  </w:style>
  <w:style w:type="character" w:customStyle="1" w:styleId="CommentTextChar">
    <w:name w:val="Comment Text Char"/>
    <w:basedOn w:val="DefaultParagraphFont"/>
    <w:link w:val="CommentText"/>
    <w:uiPriority w:val="99"/>
    <w:rsid w:val="00D5028C"/>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D5028C"/>
    <w:rPr>
      <w:b/>
      <w:bCs/>
    </w:rPr>
  </w:style>
  <w:style w:type="character" w:customStyle="1" w:styleId="CommentSubjectChar">
    <w:name w:val="Comment Subject Char"/>
    <w:basedOn w:val="CommentTextChar"/>
    <w:link w:val="CommentSubject"/>
    <w:uiPriority w:val="99"/>
    <w:semiHidden/>
    <w:rsid w:val="00D5028C"/>
    <w:rPr>
      <w:rFonts w:eastAsiaTheme="minorEastAsia"/>
      <w:b/>
      <w:bCs/>
      <w:kern w:val="0"/>
      <w:sz w:val="20"/>
      <w:szCs w:val="20"/>
      <w:lang w:val="en-CA" w:eastAsia="zh-TW"/>
      <w14:ligatures w14:val="none"/>
    </w:rPr>
  </w:style>
  <w:style w:type="character" w:styleId="Hyperlink">
    <w:name w:val="Hyperlink"/>
    <w:basedOn w:val="DefaultParagraphFont"/>
    <w:uiPriority w:val="99"/>
    <w:unhideWhenUsed/>
    <w:rsid w:val="00B51191"/>
    <w:rPr>
      <w:color w:val="467886" w:themeColor="hyperlink"/>
      <w:u w:val="single"/>
    </w:rPr>
  </w:style>
  <w:style w:type="character" w:styleId="UnresolvedMention">
    <w:name w:val="Unresolved Mention"/>
    <w:basedOn w:val="DefaultParagraphFont"/>
    <w:uiPriority w:val="99"/>
    <w:semiHidden/>
    <w:unhideWhenUsed/>
    <w:rsid w:val="00B51191"/>
    <w:rPr>
      <w:color w:val="605E5C"/>
      <w:shd w:val="clear" w:color="auto" w:fill="E1DFDD"/>
    </w:rPr>
  </w:style>
  <w:style w:type="character" w:styleId="FollowedHyperlink">
    <w:name w:val="FollowedHyperlink"/>
    <w:basedOn w:val="DefaultParagraphFont"/>
    <w:uiPriority w:val="99"/>
    <w:semiHidden/>
    <w:unhideWhenUsed/>
    <w:rsid w:val="001B62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5471">
      <w:bodyDiv w:val="1"/>
      <w:marLeft w:val="0"/>
      <w:marRight w:val="0"/>
      <w:marTop w:val="0"/>
      <w:marBottom w:val="0"/>
      <w:divBdr>
        <w:top w:val="none" w:sz="0" w:space="0" w:color="auto"/>
        <w:left w:val="none" w:sz="0" w:space="0" w:color="auto"/>
        <w:bottom w:val="none" w:sz="0" w:space="0" w:color="auto"/>
        <w:right w:val="none" w:sz="0" w:space="0" w:color="auto"/>
      </w:divBdr>
    </w:div>
    <w:div w:id="1921479225">
      <w:bodyDiv w:val="1"/>
      <w:marLeft w:val="0"/>
      <w:marRight w:val="0"/>
      <w:marTop w:val="0"/>
      <w:marBottom w:val="0"/>
      <w:divBdr>
        <w:top w:val="none" w:sz="0" w:space="0" w:color="auto"/>
        <w:left w:val="none" w:sz="0" w:space="0" w:color="auto"/>
        <w:bottom w:val="none" w:sz="0" w:space="0" w:color="auto"/>
        <w:right w:val="none" w:sz="0" w:space="0" w:color="auto"/>
      </w:divBdr>
    </w:div>
    <w:div w:id="2010406454">
      <w:bodyDiv w:val="1"/>
      <w:marLeft w:val="0"/>
      <w:marRight w:val="0"/>
      <w:marTop w:val="0"/>
      <w:marBottom w:val="0"/>
      <w:divBdr>
        <w:top w:val="none" w:sz="0" w:space="0" w:color="auto"/>
        <w:left w:val="none" w:sz="0" w:space="0" w:color="auto"/>
        <w:bottom w:val="none" w:sz="0" w:space="0" w:color="auto"/>
        <w:right w:val="none" w:sz="0" w:space="0" w:color="auto"/>
      </w:divBdr>
      <w:divsChild>
        <w:div w:id="456989857">
          <w:marLeft w:val="0"/>
          <w:marRight w:val="0"/>
          <w:marTop w:val="0"/>
          <w:marBottom w:val="0"/>
          <w:divBdr>
            <w:top w:val="none" w:sz="0" w:space="0" w:color="auto"/>
            <w:left w:val="none" w:sz="0" w:space="0" w:color="auto"/>
            <w:bottom w:val="none" w:sz="0" w:space="0" w:color="auto"/>
            <w:right w:val="none" w:sz="0" w:space="0" w:color="auto"/>
          </w:divBdr>
          <w:divsChild>
            <w:div w:id="972246993">
              <w:marLeft w:val="0"/>
              <w:marRight w:val="0"/>
              <w:marTop w:val="0"/>
              <w:marBottom w:val="0"/>
              <w:divBdr>
                <w:top w:val="none" w:sz="0" w:space="0" w:color="auto"/>
                <w:left w:val="none" w:sz="0" w:space="0" w:color="auto"/>
                <w:bottom w:val="none" w:sz="0" w:space="0" w:color="auto"/>
                <w:right w:val="none" w:sz="0" w:space="0" w:color="auto"/>
              </w:divBdr>
              <w:divsChild>
                <w:div w:id="322245401">
                  <w:marLeft w:val="0"/>
                  <w:marRight w:val="0"/>
                  <w:marTop w:val="0"/>
                  <w:marBottom w:val="0"/>
                  <w:divBdr>
                    <w:top w:val="none" w:sz="0" w:space="0" w:color="auto"/>
                    <w:left w:val="none" w:sz="0" w:space="0" w:color="auto"/>
                    <w:bottom w:val="none" w:sz="0" w:space="0" w:color="auto"/>
                    <w:right w:val="none" w:sz="0" w:space="0" w:color="auto"/>
                  </w:divBdr>
                  <w:divsChild>
                    <w:div w:id="1762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82940">
          <w:marLeft w:val="0"/>
          <w:marRight w:val="0"/>
          <w:marTop w:val="0"/>
          <w:marBottom w:val="0"/>
          <w:divBdr>
            <w:top w:val="none" w:sz="0" w:space="0" w:color="auto"/>
            <w:left w:val="none" w:sz="0" w:space="0" w:color="auto"/>
            <w:bottom w:val="none" w:sz="0" w:space="0" w:color="auto"/>
            <w:right w:val="none" w:sz="0" w:space="0" w:color="auto"/>
          </w:divBdr>
          <w:divsChild>
            <w:div w:id="832532358">
              <w:marLeft w:val="0"/>
              <w:marRight w:val="0"/>
              <w:marTop w:val="0"/>
              <w:marBottom w:val="0"/>
              <w:divBdr>
                <w:top w:val="none" w:sz="0" w:space="0" w:color="auto"/>
                <w:left w:val="none" w:sz="0" w:space="0" w:color="auto"/>
                <w:bottom w:val="none" w:sz="0" w:space="0" w:color="auto"/>
                <w:right w:val="none" w:sz="0" w:space="0" w:color="auto"/>
              </w:divBdr>
              <w:divsChild>
                <w:div w:id="1735355681">
                  <w:marLeft w:val="0"/>
                  <w:marRight w:val="0"/>
                  <w:marTop w:val="0"/>
                  <w:marBottom w:val="0"/>
                  <w:divBdr>
                    <w:top w:val="none" w:sz="0" w:space="0" w:color="auto"/>
                    <w:left w:val="none" w:sz="0" w:space="0" w:color="auto"/>
                    <w:bottom w:val="none" w:sz="0" w:space="0" w:color="auto"/>
                    <w:right w:val="none" w:sz="0" w:space="0" w:color="auto"/>
                  </w:divBdr>
                  <w:divsChild>
                    <w:div w:id="139697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424847">
      <w:bodyDiv w:val="1"/>
      <w:marLeft w:val="0"/>
      <w:marRight w:val="0"/>
      <w:marTop w:val="0"/>
      <w:marBottom w:val="0"/>
      <w:divBdr>
        <w:top w:val="none" w:sz="0" w:space="0" w:color="auto"/>
        <w:left w:val="none" w:sz="0" w:space="0" w:color="auto"/>
        <w:bottom w:val="none" w:sz="0" w:space="0" w:color="auto"/>
        <w:right w:val="none" w:sz="0" w:space="0" w:color="auto"/>
      </w:divBdr>
      <w:divsChild>
        <w:div w:id="787234607">
          <w:marLeft w:val="0"/>
          <w:marRight w:val="0"/>
          <w:marTop w:val="0"/>
          <w:marBottom w:val="0"/>
          <w:divBdr>
            <w:top w:val="none" w:sz="0" w:space="0" w:color="auto"/>
            <w:left w:val="none" w:sz="0" w:space="0" w:color="auto"/>
            <w:bottom w:val="none" w:sz="0" w:space="0" w:color="auto"/>
            <w:right w:val="none" w:sz="0" w:space="0" w:color="auto"/>
          </w:divBdr>
          <w:divsChild>
            <w:div w:id="1711373906">
              <w:marLeft w:val="0"/>
              <w:marRight w:val="0"/>
              <w:marTop w:val="0"/>
              <w:marBottom w:val="0"/>
              <w:divBdr>
                <w:top w:val="none" w:sz="0" w:space="0" w:color="auto"/>
                <w:left w:val="none" w:sz="0" w:space="0" w:color="auto"/>
                <w:bottom w:val="none" w:sz="0" w:space="0" w:color="auto"/>
                <w:right w:val="none" w:sz="0" w:space="0" w:color="auto"/>
              </w:divBdr>
              <w:divsChild>
                <w:div w:id="1753964517">
                  <w:marLeft w:val="0"/>
                  <w:marRight w:val="0"/>
                  <w:marTop w:val="0"/>
                  <w:marBottom w:val="0"/>
                  <w:divBdr>
                    <w:top w:val="none" w:sz="0" w:space="0" w:color="auto"/>
                    <w:left w:val="none" w:sz="0" w:space="0" w:color="auto"/>
                    <w:bottom w:val="none" w:sz="0" w:space="0" w:color="auto"/>
                    <w:right w:val="none" w:sz="0" w:space="0" w:color="auto"/>
                  </w:divBdr>
                  <w:divsChild>
                    <w:div w:id="212241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5245">
          <w:marLeft w:val="0"/>
          <w:marRight w:val="0"/>
          <w:marTop w:val="0"/>
          <w:marBottom w:val="0"/>
          <w:divBdr>
            <w:top w:val="none" w:sz="0" w:space="0" w:color="auto"/>
            <w:left w:val="none" w:sz="0" w:space="0" w:color="auto"/>
            <w:bottom w:val="none" w:sz="0" w:space="0" w:color="auto"/>
            <w:right w:val="none" w:sz="0" w:space="0" w:color="auto"/>
          </w:divBdr>
          <w:divsChild>
            <w:div w:id="591084785">
              <w:marLeft w:val="0"/>
              <w:marRight w:val="0"/>
              <w:marTop w:val="0"/>
              <w:marBottom w:val="0"/>
              <w:divBdr>
                <w:top w:val="none" w:sz="0" w:space="0" w:color="auto"/>
                <w:left w:val="none" w:sz="0" w:space="0" w:color="auto"/>
                <w:bottom w:val="none" w:sz="0" w:space="0" w:color="auto"/>
                <w:right w:val="none" w:sz="0" w:space="0" w:color="auto"/>
              </w:divBdr>
              <w:divsChild>
                <w:div w:id="1568296309">
                  <w:marLeft w:val="0"/>
                  <w:marRight w:val="0"/>
                  <w:marTop w:val="0"/>
                  <w:marBottom w:val="0"/>
                  <w:divBdr>
                    <w:top w:val="none" w:sz="0" w:space="0" w:color="auto"/>
                    <w:left w:val="none" w:sz="0" w:space="0" w:color="auto"/>
                    <w:bottom w:val="none" w:sz="0" w:space="0" w:color="auto"/>
                    <w:right w:val="none" w:sz="0" w:space="0" w:color="auto"/>
                  </w:divBdr>
                  <w:divsChild>
                    <w:div w:id="20334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d.gov.hk/EN/Publicity_and_Publications/Publicity/DSD_Sustainability_Reports/20/blue-green_drainage_infrastructure.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4A6F74-A719-4D8F-978B-E473D5B8D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3.xml><?xml version="1.0" encoding="utf-8"?>
<ds:datastoreItem xmlns:ds="http://schemas.openxmlformats.org/officeDocument/2006/customXml" ds:itemID="{3405B6AF-228E-4921-87CE-8319350688AD}">
  <ds:schemaRefs>
    <ds:schemaRef ds:uri="cab52c9b-ab33-4221-8af9-54f8f2b86a80"/>
    <ds:schemaRef ds:uri="http://purl.org/dc/dcmitype/"/>
    <ds:schemaRef ds:uri="http://purl.org/dc/elements/1.1/"/>
    <ds:schemaRef ds:uri="6911e96c-4cc4-42d5-8e43-f93924cf6a05"/>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9c8a2b7b-0bee-4c48-b0a6-23db8982d3b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900</Words>
  <Characters>5727</Characters>
  <Application>Microsoft Office Word</Application>
  <DocSecurity>0</DocSecurity>
  <Lines>47</Lines>
  <Paragraphs>13</Paragraphs>
  <ScaleCrop>false</ScaleCrop>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7</cp:revision>
  <dcterms:created xsi:type="dcterms:W3CDTF">2025-03-01T04:17:00Z</dcterms:created>
  <dcterms:modified xsi:type="dcterms:W3CDTF">2025-08-14T03:42:00Z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ec996581-867b-45ec-82cb-ba4958a5ffa8</vt:lpwstr>
  </property>
</Properties>
</file>