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DB8BA08" w14:textId="3F7E448B" w:rsidR="00C25C9F" w:rsidRPr="00187B87" w:rsidRDefault="00187B87" w:rsidP="00187B87">
            <w:pPr>
              <w:rPr>
                <w:rFonts w:ascii="Arial" w:hAnsi="Arial" w:cs="Arial"/>
                <w:b/>
                <w:bCs/>
                <w:sz w:val="22"/>
                <w:szCs w:val="22"/>
              </w:rPr>
            </w:pPr>
            <w:r w:rsidRPr="00187B87">
              <w:rPr>
                <w:rFonts w:ascii="Arial" w:hAnsi="Arial" w:cs="Arial"/>
                <w:bCs/>
                <w:i/>
                <w:iCs/>
                <w:sz w:val="22"/>
                <w:szCs w:val="22"/>
              </w:rPr>
              <w:t>Paper</w:t>
            </w:r>
            <w:r w:rsidR="00236B96">
              <w:rPr>
                <w:rFonts w:ascii="Arial" w:hAnsi="Arial" w:cs="Arial"/>
                <w:sz w:val="22"/>
                <w:szCs w:val="22"/>
              </w:rPr>
              <w:br/>
            </w:r>
            <w:r w:rsidR="00236B96" w:rsidRPr="00187B87">
              <w:rPr>
                <w:rFonts w:ascii="Arial" w:hAnsi="Arial" w:cs="Arial"/>
                <w:b/>
                <w:bCs/>
                <w:sz w:val="22"/>
                <w:szCs w:val="22"/>
              </w:rPr>
              <w:t xml:space="preserve">“Everything, Everywhere, All at Once”: </w:t>
            </w:r>
            <w:r w:rsidR="008D3F36" w:rsidRPr="00187B87">
              <w:rPr>
                <w:rFonts w:ascii="Arial" w:hAnsi="Arial" w:cs="Arial"/>
                <w:b/>
                <w:bCs/>
                <w:sz w:val="22"/>
                <w:szCs w:val="22"/>
              </w:rPr>
              <w:t xml:space="preserve">Public-sector </w:t>
            </w:r>
            <w:r w:rsidR="00C25C9F" w:rsidRPr="00187B87">
              <w:rPr>
                <w:rFonts w:ascii="Arial" w:hAnsi="Arial" w:cs="Arial"/>
                <w:b/>
                <w:bCs/>
                <w:sz w:val="22"/>
                <w:szCs w:val="22"/>
              </w:rPr>
              <w:t>scenarios for climate-risk disclosure in public agencies and institutions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7CD3AC8D" w14:textId="77777777" w:rsidR="00236B96" w:rsidRDefault="00236B96" w:rsidP="00706DED">
            <w:pPr>
              <w:jc w:val="both"/>
              <w:rPr>
                <w:rFonts w:ascii="Arial" w:hAnsi="Arial" w:cs="Arial"/>
                <w:bCs/>
                <w:sz w:val="22"/>
                <w:szCs w:val="22"/>
              </w:rPr>
            </w:pPr>
          </w:p>
          <w:p w14:paraId="131A5F05" w14:textId="77777777" w:rsidR="0065012F" w:rsidRPr="001A7639" w:rsidRDefault="0065012F" w:rsidP="00706DED">
            <w:pPr>
              <w:jc w:val="both"/>
              <w:rPr>
                <w:rFonts w:ascii="Arial" w:hAnsi="Arial" w:cs="Arial"/>
                <w:b/>
                <w:sz w:val="22"/>
                <w:szCs w:val="22"/>
              </w:rPr>
            </w:pPr>
            <w:r w:rsidRPr="0065012F">
              <w:rPr>
                <w:rFonts w:ascii="Arial" w:hAnsi="Arial" w:cs="Arial"/>
                <w:b/>
                <w:sz w:val="22"/>
                <w:szCs w:val="22"/>
              </w:rPr>
              <w:t>I</w:t>
            </w:r>
            <w:r w:rsidRPr="001A7639">
              <w:rPr>
                <w:rFonts w:ascii="Arial" w:hAnsi="Arial" w:cs="Arial"/>
                <w:b/>
                <w:sz w:val="22"/>
                <w:szCs w:val="22"/>
              </w:rPr>
              <w:t>ntroduction</w:t>
            </w:r>
          </w:p>
          <w:p w14:paraId="19E00A0C" w14:textId="27F5EBAD" w:rsidR="00137F5C" w:rsidRPr="00090E9F" w:rsidRDefault="00137F5C" w:rsidP="0011284B">
            <w:pPr>
              <w:spacing w:line="259" w:lineRule="auto"/>
              <w:jc w:val="both"/>
              <w:rPr>
                <w:rFonts w:ascii="Arial" w:hAnsi="Arial" w:cs="Arial"/>
                <w:sz w:val="22"/>
                <w:szCs w:val="22"/>
              </w:rPr>
            </w:pPr>
            <w:r w:rsidRPr="00090E9F">
              <w:rPr>
                <w:rFonts w:ascii="Arial" w:hAnsi="Arial" w:cs="Arial"/>
                <w:sz w:val="22"/>
                <w:szCs w:val="22"/>
              </w:rPr>
              <w:t>Scenario analysis is increasingly used for climate-related</w:t>
            </w:r>
            <w:r w:rsidR="00D8565B">
              <w:rPr>
                <w:rFonts w:ascii="Arial" w:hAnsi="Arial" w:cs="Arial"/>
                <w:sz w:val="22"/>
                <w:szCs w:val="22"/>
              </w:rPr>
              <w:t xml:space="preserve"> risk</w:t>
            </w:r>
            <w:r w:rsidRPr="00090E9F">
              <w:rPr>
                <w:rFonts w:ascii="Arial" w:hAnsi="Arial" w:cs="Arial"/>
                <w:sz w:val="22"/>
                <w:szCs w:val="22"/>
              </w:rPr>
              <w:t xml:space="preserve"> disclosure for large listed companies and financial services providers. Now, public agencies and institutions are incorporating such approaches into long-term planning and decision-making, in the face of increasingly disruptive events. Some guidance and examples are available for public sector agencies, however it has typically </w:t>
            </w:r>
            <w:r w:rsidR="00D8565B">
              <w:rPr>
                <w:rFonts w:ascii="Arial" w:hAnsi="Arial" w:cs="Arial"/>
                <w:sz w:val="22"/>
                <w:szCs w:val="22"/>
              </w:rPr>
              <w:t>been limited to</w:t>
            </w:r>
            <w:r w:rsidRPr="00090E9F">
              <w:rPr>
                <w:rFonts w:ascii="Arial" w:hAnsi="Arial" w:cs="Arial"/>
                <w:sz w:val="22"/>
                <w:szCs w:val="22"/>
              </w:rPr>
              <w:t xml:space="preserve"> projects and policy development. </w:t>
            </w:r>
          </w:p>
          <w:p w14:paraId="2AEA075D" w14:textId="77777777" w:rsidR="00C25C9F" w:rsidRPr="00090E9F" w:rsidRDefault="00C25C9F" w:rsidP="00706DED">
            <w:pPr>
              <w:jc w:val="both"/>
              <w:rPr>
                <w:rFonts w:ascii="Arial" w:hAnsi="Arial" w:cs="Arial"/>
                <w:b/>
                <w:sz w:val="22"/>
                <w:szCs w:val="22"/>
              </w:rPr>
            </w:pPr>
          </w:p>
          <w:p w14:paraId="5DE13B32" w14:textId="77777777" w:rsidR="0065012F" w:rsidRPr="00090E9F" w:rsidRDefault="0065012F" w:rsidP="00706DED">
            <w:pPr>
              <w:jc w:val="both"/>
              <w:rPr>
                <w:rFonts w:ascii="Arial" w:hAnsi="Arial" w:cs="Arial"/>
                <w:b/>
                <w:sz w:val="22"/>
                <w:szCs w:val="22"/>
              </w:rPr>
            </w:pPr>
            <w:r w:rsidRPr="00090E9F">
              <w:rPr>
                <w:rFonts w:ascii="Arial" w:hAnsi="Arial" w:cs="Arial"/>
                <w:b/>
                <w:sz w:val="22"/>
                <w:szCs w:val="22"/>
              </w:rPr>
              <w:t>Objectives</w:t>
            </w:r>
          </w:p>
          <w:p w14:paraId="40FA47C4" w14:textId="67B32F0E" w:rsidR="00C25C9F" w:rsidRPr="00090E9F" w:rsidRDefault="00C25C9F" w:rsidP="00C25C9F">
            <w:pPr>
              <w:jc w:val="both"/>
              <w:rPr>
                <w:rFonts w:ascii="Arial" w:hAnsi="Arial" w:cs="Arial"/>
                <w:b/>
                <w:sz w:val="22"/>
                <w:szCs w:val="22"/>
              </w:rPr>
            </w:pPr>
            <w:r w:rsidRPr="00090E9F">
              <w:rPr>
                <w:rFonts w:ascii="Arial" w:hAnsi="Arial" w:cs="Arial"/>
                <w:bCs/>
                <w:sz w:val="22"/>
                <w:szCs w:val="22"/>
              </w:rPr>
              <w:t xml:space="preserve">We present the results of </w:t>
            </w:r>
            <w:r w:rsidR="00137F5C" w:rsidRPr="00090E9F">
              <w:rPr>
                <w:rFonts w:ascii="Arial" w:hAnsi="Arial" w:cs="Arial"/>
                <w:bCs/>
                <w:sz w:val="22"/>
                <w:szCs w:val="22"/>
              </w:rPr>
              <w:t xml:space="preserve">a </w:t>
            </w:r>
            <w:r w:rsidRPr="00090E9F">
              <w:rPr>
                <w:rFonts w:ascii="Arial" w:hAnsi="Arial" w:cs="Arial"/>
                <w:bCs/>
                <w:sz w:val="22"/>
                <w:szCs w:val="22"/>
              </w:rPr>
              <w:t>scenario development process</w:t>
            </w:r>
            <w:r w:rsidR="00137F5C" w:rsidRPr="00090E9F">
              <w:rPr>
                <w:rFonts w:ascii="Arial" w:hAnsi="Arial" w:cs="Arial"/>
                <w:bCs/>
                <w:sz w:val="22"/>
                <w:szCs w:val="22"/>
              </w:rPr>
              <w:t xml:space="preserve"> for </w:t>
            </w:r>
            <w:r w:rsidR="008D3F36">
              <w:rPr>
                <w:rFonts w:ascii="Arial" w:hAnsi="Arial" w:cs="Arial"/>
                <w:bCs/>
                <w:sz w:val="22"/>
                <w:szCs w:val="22"/>
              </w:rPr>
              <w:t>land and food systems’ resilience</w:t>
            </w:r>
            <w:r w:rsidR="00137F5C" w:rsidRPr="00090E9F">
              <w:rPr>
                <w:rFonts w:ascii="Arial" w:hAnsi="Arial" w:cs="Arial"/>
                <w:bCs/>
                <w:sz w:val="22"/>
                <w:szCs w:val="22"/>
              </w:rPr>
              <w:t>, drawing on the results of a development process with New Zealand’s Ministry for the Environmen</w:t>
            </w:r>
            <w:r w:rsidR="00AE3933" w:rsidRPr="00090E9F">
              <w:rPr>
                <w:rFonts w:ascii="Arial" w:hAnsi="Arial" w:cs="Arial"/>
                <w:bCs/>
                <w:sz w:val="22"/>
                <w:szCs w:val="22"/>
              </w:rPr>
              <w:t>t</w:t>
            </w:r>
            <w:r w:rsidR="00D8565B">
              <w:rPr>
                <w:rFonts w:ascii="Arial" w:hAnsi="Arial" w:cs="Arial"/>
                <w:bCs/>
                <w:sz w:val="22"/>
                <w:szCs w:val="22"/>
              </w:rPr>
              <w:t xml:space="preserve"> (</w:t>
            </w:r>
            <w:proofErr w:type="spellStart"/>
            <w:r w:rsidR="00D8565B">
              <w:rPr>
                <w:rFonts w:ascii="Arial" w:hAnsi="Arial" w:cs="Arial"/>
                <w:bCs/>
                <w:sz w:val="22"/>
                <w:szCs w:val="22"/>
              </w:rPr>
              <w:t>MfE</w:t>
            </w:r>
            <w:proofErr w:type="spellEnd"/>
            <w:r w:rsidR="00D8565B">
              <w:rPr>
                <w:rFonts w:ascii="Arial" w:hAnsi="Arial" w:cs="Arial"/>
                <w:bCs/>
                <w:sz w:val="22"/>
                <w:szCs w:val="22"/>
              </w:rPr>
              <w:t>)</w:t>
            </w:r>
            <w:r w:rsidR="00AE3933" w:rsidRPr="00090E9F">
              <w:rPr>
                <w:rFonts w:ascii="Arial" w:hAnsi="Arial" w:cs="Arial"/>
                <w:bCs/>
                <w:sz w:val="22"/>
                <w:szCs w:val="22"/>
              </w:rPr>
              <w:t>. The aim was develop scenarios to help assess organisational readiness and response capacity, following a damaging</w:t>
            </w:r>
            <w:r w:rsidR="008D3F36">
              <w:rPr>
                <w:rFonts w:ascii="Arial" w:hAnsi="Arial" w:cs="Arial"/>
                <w:bCs/>
                <w:sz w:val="22"/>
                <w:szCs w:val="22"/>
              </w:rPr>
              <w:t xml:space="preserve"> ex-tropical</w:t>
            </w:r>
            <w:r w:rsidR="00AE3933" w:rsidRPr="00090E9F">
              <w:rPr>
                <w:rFonts w:ascii="Arial" w:hAnsi="Arial" w:cs="Arial"/>
                <w:bCs/>
                <w:sz w:val="22"/>
                <w:szCs w:val="22"/>
              </w:rPr>
              <w:t xml:space="preserve"> cyclone in 2023, and explore the value of, and differences between, public/private </w:t>
            </w:r>
            <w:proofErr w:type="spellStart"/>
            <w:r w:rsidR="00AE3933" w:rsidRPr="00090E9F">
              <w:rPr>
                <w:rFonts w:ascii="Arial" w:hAnsi="Arial" w:cs="Arial"/>
                <w:bCs/>
                <w:sz w:val="22"/>
                <w:szCs w:val="22"/>
              </w:rPr>
              <w:t>futuring</w:t>
            </w:r>
            <w:proofErr w:type="spellEnd"/>
            <w:r w:rsidR="00AE3933" w:rsidRPr="00090E9F">
              <w:rPr>
                <w:rFonts w:ascii="Arial" w:hAnsi="Arial" w:cs="Arial"/>
                <w:bCs/>
                <w:sz w:val="22"/>
                <w:szCs w:val="22"/>
              </w:rPr>
              <w:t xml:space="preserve">. </w:t>
            </w:r>
          </w:p>
          <w:p w14:paraId="7DF7D437" w14:textId="77777777" w:rsidR="0065012F" w:rsidRPr="00090E9F" w:rsidRDefault="0065012F" w:rsidP="00706DED">
            <w:pPr>
              <w:jc w:val="both"/>
              <w:rPr>
                <w:rFonts w:ascii="Arial" w:hAnsi="Arial" w:cs="Arial"/>
                <w:b/>
                <w:sz w:val="22"/>
                <w:szCs w:val="22"/>
              </w:rPr>
            </w:pPr>
          </w:p>
          <w:p w14:paraId="457D2D05" w14:textId="4552866C" w:rsidR="0065012F" w:rsidRPr="00090E9F" w:rsidRDefault="00906B39" w:rsidP="00706DED">
            <w:pPr>
              <w:jc w:val="both"/>
              <w:rPr>
                <w:rFonts w:ascii="Arial" w:hAnsi="Arial" w:cs="Arial"/>
                <w:b/>
                <w:sz w:val="22"/>
                <w:szCs w:val="22"/>
              </w:rPr>
            </w:pPr>
            <w:r w:rsidRPr="00090E9F">
              <w:rPr>
                <w:rFonts w:ascii="Arial" w:hAnsi="Arial" w:cs="Arial"/>
                <w:b/>
                <w:sz w:val="22"/>
                <w:szCs w:val="22"/>
              </w:rPr>
              <w:t>Methodology</w:t>
            </w:r>
          </w:p>
          <w:p w14:paraId="6BB0FAD6" w14:textId="0A6CD48B" w:rsidR="001A7639" w:rsidRPr="00090E9F" w:rsidRDefault="00D8565B" w:rsidP="008D3F36">
            <w:pPr>
              <w:jc w:val="both"/>
              <w:rPr>
                <w:rFonts w:ascii="Arial" w:hAnsi="Arial" w:cs="Arial"/>
                <w:sz w:val="22"/>
                <w:szCs w:val="22"/>
              </w:rPr>
            </w:pPr>
            <w:r w:rsidRPr="00090E9F">
              <w:rPr>
                <w:rFonts w:ascii="Arial" w:hAnsi="Arial" w:cs="Arial"/>
                <w:bCs/>
                <w:sz w:val="22"/>
                <w:szCs w:val="22"/>
              </w:rPr>
              <w:t>The</w:t>
            </w:r>
            <w:r w:rsidRPr="00090E9F">
              <w:rPr>
                <w:rFonts w:ascii="Arial" w:hAnsi="Arial" w:cs="Arial"/>
                <w:sz w:val="22"/>
                <w:szCs w:val="22"/>
              </w:rPr>
              <w:t xml:space="preserve"> methodology sought to bridge the gap between top down</w:t>
            </w:r>
            <w:r>
              <w:rPr>
                <w:rFonts w:ascii="Arial" w:hAnsi="Arial" w:cs="Arial"/>
                <w:sz w:val="22"/>
                <w:szCs w:val="22"/>
              </w:rPr>
              <w:t>-</w:t>
            </w:r>
            <w:r w:rsidRPr="00090E9F">
              <w:rPr>
                <w:rFonts w:ascii="Arial" w:hAnsi="Arial" w:cs="Arial"/>
                <w:sz w:val="22"/>
                <w:szCs w:val="22"/>
              </w:rPr>
              <w:t>and</w:t>
            </w:r>
            <w:r>
              <w:rPr>
                <w:rFonts w:ascii="Arial" w:hAnsi="Arial" w:cs="Arial"/>
                <w:sz w:val="22"/>
                <w:szCs w:val="22"/>
              </w:rPr>
              <w:t>-</w:t>
            </w:r>
            <w:r w:rsidRPr="00090E9F">
              <w:rPr>
                <w:rFonts w:ascii="Arial" w:hAnsi="Arial" w:cs="Arial"/>
                <w:sz w:val="22"/>
                <w:szCs w:val="22"/>
              </w:rPr>
              <w:t>bottom up approaches to scenario development through a robust, participatory and deliberative approach, involving key actors and stakeholders within a limited budget. The process was designed to promote collaborative learning, strengthen adaptive capacity and planning, and used participatory methods to engage and empower multiple actors. It focused on the unique insights and interests of different stakeholders as well as social and institutional features of the system in question</w:t>
            </w:r>
            <w:r>
              <w:rPr>
                <w:rFonts w:ascii="Arial" w:hAnsi="Arial" w:cs="Arial"/>
                <w:sz w:val="22"/>
                <w:szCs w:val="22"/>
              </w:rPr>
              <w:t xml:space="preserve">. </w:t>
            </w:r>
            <w:r>
              <w:rPr>
                <w:rFonts w:ascii="Arial" w:hAnsi="Arial" w:cs="Arial"/>
                <w:bCs/>
                <w:sz w:val="22"/>
                <w:szCs w:val="22"/>
              </w:rPr>
              <w:t xml:space="preserve">For </w:t>
            </w:r>
            <w:proofErr w:type="spellStart"/>
            <w:r>
              <w:rPr>
                <w:rFonts w:ascii="Arial" w:hAnsi="Arial" w:cs="Arial"/>
                <w:bCs/>
                <w:sz w:val="22"/>
                <w:szCs w:val="22"/>
              </w:rPr>
              <w:t>MfE</w:t>
            </w:r>
            <w:proofErr w:type="spellEnd"/>
            <w:r>
              <w:rPr>
                <w:rFonts w:ascii="Arial" w:hAnsi="Arial" w:cs="Arial"/>
                <w:bCs/>
                <w:sz w:val="22"/>
                <w:szCs w:val="22"/>
              </w:rPr>
              <w:t>, a</w:t>
            </w:r>
            <w:r w:rsidR="00D03212" w:rsidRPr="00090E9F">
              <w:rPr>
                <w:rFonts w:ascii="Arial" w:hAnsi="Arial" w:cs="Arial"/>
                <w:bCs/>
                <w:sz w:val="22"/>
                <w:szCs w:val="22"/>
              </w:rPr>
              <w:t xml:space="preserve"> participatory approach delivered through online workshops, combined relevant </w:t>
            </w:r>
            <w:r>
              <w:rPr>
                <w:rFonts w:ascii="Arial" w:hAnsi="Arial" w:cs="Arial"/>
                <w:bCs/>
                <w:sz w:val="22"/>
                <w:szCs w:val="22"/>
              </w:rPr>
              <w:t xml:space="preserve">Shared Socioeconomic Pathways, Policy Assumptions and emissions pathways </w:t>
            </w:r>
            <w:r w:rsidR="00D03212" w:rsidRPr="00090E9F">
              <w:rPr>
                <w:rFonts w:ascii="Arial" w:hAnsi="Arial" w:cs="Arial"/>
                <w:bCs/>
                <w:sz w:val="22"/>
                <w:szCs w:val="22"/>
              </w:rPr>
              <w:t>into meaningful boundary conditions, with drivers of change elicited from participants</w:t>
            </w:r>
            <w:r>
              <w:rPr>
                <w:rFonts w:ascii="Arial" w:hAnsi="Arial" w:cs="Arial"/>
                <w:bCs/>
                <w:sz w:val="22"/>
                <w:szCs w:val="22"/>
              </w:rPr>
              <w:t>.</w:t>
            </w:r>
            <w:r w:rsidR="008D3F36">
              <w:rPr>
                <w:rFonts w:ascii="Arial" w:hAnsi="Arial" w:cs="Arial"/>
                <w:bCs/>
                <w:sz w:val="22"/>
                <w:szCs w:val="22"/>
              </w:rPr>
              <w:t xml:space="preserve"> The approach was further refined with the </w:t>
            </w:r>
            <w:r w:rsidR="008D3F36" w:rsidRPr="00090E9F">
              <w:rPr>
                <w:rFonts w:ascii="Arial" w:hAnsi="Arial" w:cs="Arial"/>
                <w:bCs/>
                <w:sz w:val="22"/>
                <w:szCs w:val="22"/>
              </w:rPr>
              <w:t>health sector</w:t>
            </w:r>
            <w:r w:rsidR="008D3F36">
              <w:rPr>
                <w:rFonts w:ascii="Arial" w:hAnsi="Arial" w:cs="Arial"/>
                <w:bCs/>
                <w:sz w:val="22"/>
                <w:szCs w:val="22"/>
              </w:rPr>
              <w:t xml:space="preserve">, where </w:t>
            </w:r>
            <w:r w:rsidRPr="00090E9F">
              <w:rPr>
                <w:rFonts w:ascii="Arial" w:hAnsi="Arial" w:cs="Arial"/>
                <w:bCs/>
                <w:sz w:val="22"/>
                <w:szCs w:val="22"/>
              </w:rPr>
              <w:t xml:space="preserve">a unique </w:t>
            </w:r>
            <w:r w:rsidRPr="00090E9F">
              <w:rPr>
                <w:rFonts w:ascii="Arial" w:hAnsi="Arial" w:cs="Arial"/>
                <w:color w:val="212121"/>
                <w:sz w:val="22"/>
                <w:szCs w:val="22"/>
              </w:rPr>
              <w:t xml:space="preserve"> ‘scope/value chain’ was used, focussing on determinants of health. </w:t>
            </w:r>
            <w:r>
              <w:rPr>
                <w:rFonts w:ascii="Arial" w:hAnsi="Arial" w:cs="Arial"/>
                <w:color w:val="212121"/>
                <w:sz w:val="22"/>
                <w:szCs w:val="22"/>
              </w:rPr>
              <w:t>I</w:t>
            </w:r>
            <w:r w:rsidRPr="00090E9F">
              <w:rPr>
                <w:rFonts w:ascii="Arial" w:hAnsi="Arial" w:cs="Arial"/>
                <w:bCs/>
                <w:sz w:val="22"/>
                <w:szCs w:val="22"/>
              </w:rPr>
              <w:t xml:space="preserve">ndigenous perspectives were incorporated through </w:t>
            </w:r>
            <w:proofErr w:type="spellStart"/>
            <w:r w:rsidRPr="00090E9F">
              <w:rPr>
                <w:rFonts w:ascii="Arial" w:hAnsi="Arial" w:cs="Arial"/>
                <w:color w:val="212121"/>
                <w:sz w:val="22"/>
                <w:szCs w:val="22"/>
              </w:rPr>
              <w:t>te</w:t>
            </w:r>
            <w:proofErr w:type="spellEnd"/>
            <w:r w:rsidRPr="00090E9F">
              <w:rPr>
                <w:rFonts w:ascii="Arial" w:hAnsi="Arial" w:cs="Arial"/>
                <w:color w:val="212121"/>
                <w:sz w:val="22"/>
                <w:szCs w:val="22"/>
              </w:rPr>
              <w:t xml:space="preserve"> </w:t>
            </w:r>
            <w:proofErr w:type="spellStart"/>
            <w:r w:rsidRPr="00090E9F">
              <w:rPr>
                <w:rFonts w:ascii="Arial" w:hAnsi="Arial" w:cs="Arial"/>
                <w:color w:val="212121"/>
                <w:sz w:val="22"/>
                <w:szCs w:val="22"/>
              </w:rPr>
              <w:t>ao</w:t>
            </w:r>
            <w:proofErr w:type="spellEnd"/>
            <w:r w:rsidRPr="00090E9F">
              <w:rPr>
                <w:rFonts w:ascii="Arial" w:hAnsi="Arial" w:cs="Arial"/>
                <w:color w:val="212121"/>
                <w:sz w:val="22"/>
                <w:szCs w:val="22"/>
              </w:rPr>
              <w:t xml:space="preserve"> Māori </w:t>
            </w:r>
            <w:proofErr w:type="spellStart"/>
            <w:r w:rsidRPr="00090E9F">
              <w:rPr>
                <w:rFonts w:ascii="Arial" w:hAnsi="Arial" w:cs="Arial"/>
                <w:color w:val="212121"/>
                <w:sz w:val="22"/>
                <w:szCs w:val="22"/>
              </w:rPr>
              <w:t>roopu</w:t>
            </w:r>
            <w:proofErr w:type="spellEnd"/>
            <w:r w:rsidRPr="00090E9F">
              <w:rPr>
                <w:rFonts w:ascii="Arial" w:hAnsi="Arial" w:cs="Arial"/>
                <w:color w:val="212121"/>
                <w:sz w:val="22"/>
                <w:szCs w:val="22"/>
              </w:rPr>
              <w:t xml:space="preserve"> (focus group).</w:t>
            </w:r>
            <w:r w:rsidRPr="00090E9F">
              <w:rPr>
                <w:rStyle w:val="apple-converted-space"/>
                <w:rFonts w:ascii="Arial" w:hAnsi="Arial" w:cs="Arial"/>
                <w:color w:val="212121"/>
                <w:sz w:val="22"/>
                <w:szCs w:val="22"/>
              </w:rPr>
              <w:t> </w:t>
            </w:r>
            <w:r w:rsidR="001A7639" w:rsidRPr="00090E9F">
              <w:rPr>
                <w:rFonts w:ascii="Arial" w:hAnsi="Arial" w:cs="Arial"/>
                <w:sz w:val="22"/>
                <w:szCs w:val="22"/>
              </w:rPr>
              <w:t xml:space="preserve"> </w:t>
            </w:r>
          </w:p>
          <w:p w14:paraId="61D9F067" w14:textId="77777777" w:rsidR="00AE3933" w:rsidRPr="00090E9F" w:rsidRDefault="00AE3933" w:rsidP="001A7639">
            <w:pPr>
              <w:jc w:val="both"/>
              <w:rPr>
                <w:rFonts w:ascii="Arial" w:hAnsi="Arial" w:cs="Arial"/>
                <w:sz w:val="22"/>
                <w:szCs w:val="22"/>
              </w:rPr>
            </w:pPr>
          </w:p>
          <w:p w14:paraId="62DAA8AE" w14:textId="2ACA047D" w:rsidR="0065012F" w:rsidRPr="00090E9F" w:rsidRDefault="0065012F" w:rsidP="00706DED">
            <w:pPr>
              <w:jc w:val="both"/>
              <w:rPr>
                <w:rFonts w:ascii="Arial" w:hAnsi="Arial" w:cs="Arial"/>
                <w:b/>
                <w:sz w:val="22"/>
                <w:szCs w:val="22"/>
              </w:rPr>
            </w:pPr>
            <w:r w:rsidRPr="00090E9F">
              <w:rPr>
                <w:rFonts w:ascii="Arial" w:hAnsi="Arial" w:cs="Arial"/>
                <w:b/>
                <w:sz w:val="22"/>
                <w:szCs w:val="22"/>
              </w:rPr>
              <w:t>Findings</w:t>
            </w:r>
          </w:p>
          <w:p w14:paraId="5D5EBB6C" w14:textId="2362C06F" w:rsidR="00090E9F" w:rsidRDefault="001A7639" w:rsidP="001A7639">
            <w:pPr>
              <w:jc w:val="both"/>
              <w:rPr>
                <w:rFonts w:ascii="Arial" w:hAnsi="Arial" w:cs="Arial"/>
                <w:sz w:val="22"/>
                <w:szCs w:val="22"/>
              </w:rPr>
            </w:pPr>
            <w:r w:rsidRPr="00090E9F">
              <w:rPr>
                <w:rFonts w:ascii="Arial" w:hAnsi="Arial" w:cs="Arial"/>
                <w:bCs/>
                <w:sz w:val="22"/>
                <w:szCs w:val="22"/>
              </w:rPr>
              <w:t>Three scenarios–Ambitious Transition, Reality Bites, Abandoned Ambition–were developed, and illustrative of plausible future conditions for land and food systems and were d</w:t>
            </w:r>
            <w:r w:rsidRPr="00090E9F">
              <w:rPr>
                <w:rFonts w:ascii="Arial" w:hAnsi="Arial" w:cs="Arial"/>
                <w:sz w:val="22"/>
                <w:szCs w:val="22"/>
              </w:rPr>
              <w:t xml:space="preserve">esigned to account for the compounding uncertainty associated with future socioeconomic, regulatory, and climatic change. </w:t>
            </w:r>
            <w:r w:rsidR="00090E9F">
              <w:rPr>
                <w:rFonts w:ascii="Arial" w:hAnsi="Arial" w:cs="Arial"/>
                <w:sz w:val="22"/>
                <w:szCs w:val="22"/>
              </w:rPr>
              <w:t xml:space="preserve">The health sector scenarios highlight similar trajectories – with terminology more consistent with </w:t>
            </w:r>
            <w:r w:rsidR="006574FC">
              <w:rPr>
                <w:rFonts w:ascii="Arial" w:hAnsi="Arial" w:cs="Arial"/>
                <w:sz w:val="22"/>
                <w:szCs w:val="22"/>
              </w:rPr>
              <w:t xml:space="preserve">other risk disclosures (e.g. </w:t>
            </w:r>
            <w:r w:rsidR="006574FC" w:rsidRPr="006574FC">
              <w:rPr>
                <w:rFonts w:ascii="Arial" w:hAnsi="Arial" w:cs="Arial"/>
                <w:sz w:val="22"/>
                <w:szCs w:val="22"/>
              </w:rPr>
              <w:t>Hothouse world</w:t>
            </w:r>
            <w:r w:rsidR="006574FC">
              <w:rPr>
                <w:rFonts w:ascii="Arial" w:hAnsi="Arial" w:cs="Arial"/>
                <w:sz w:val="22"/>
                <w:szCs w:val="22"/>
              </w:rPr>
              <w:t>,</w:t>
            </w:r>
            <w:r w:rsidR="006574FC" w:rsidRPr="006574FC">
              <w:rPr>
                <w:rFonts w:ascii="Arial" w:hAnsi="Arial" w:cs="Arial"/>
                <w:sz w:val="22"/>
                <w:szCs w:val="22"/>
              </w:rPr>
              <w:t xml:space="preserve"> Delayed/disorderly transition</w:t>
            </w:r>
            <w:r w:rsidR="006574FC">
              <w:rPr>
                <w:rFonts w:ascii="Arial" w:hAnsi="Arial" w:cs="Arial"/>
                <w:sz w:val="22"/>
                <w:szCs w:val="22"/>
              </w:rPr>
              <w:t xml:space="preserve">, and </w:t>
            </w:r>
            <w:r w:rsidR="006574FC" w:rsidRPr="006574FC">
              <w:rPr>
                <w:rFonts w:ascii="Arial" w:hAnsi="Arial" w:cs="Arial"/>
                <w:sz w:val="22"/>
                <w:szCs w:val="22"/>
              </w:rPr>
              <w:t>Ambitious and orderly transition</w:t>
            </w:r>
            <w:r w:rsidR="006574FC">
              <w:rPr>
                <w:rFonts w:ascii="Arial" w:hAnsi="Arial" w:cs="Arial"/>
                <w:sz w:val="22"/>
                <w:szCs w:val="22"/>
              </w:rPr>
              <w:t>).</w:t>
            </w:r>
          </w:p>
          <w:p w14:paraId="58446F71" w14:textId="57150B48" w:rsidR="001A7639" w:rsidRPr="00090E9F" w:rsidRDefault="001A7639" w:rsidP="001A7639">
            <w:pPr>
              <w:jc w:val="both"/>
              <w:rPr>
                <w:rFonts w:ascii="Arial" w:hAnsi="Arial" w:cs="Arial"/>
                <w:sz w:val="22"/>
                <w:szCs w:val="22"/>
              </w:rPr>
            </w:pPr>
            <w:r w:rsidRPr="00090E9F">
              <w:rPr>
                <w:rFonts w:ascii="Arial" w:hAnsi="Arial" w:cs="Arial"/>
                <w:sz w:val="22"/>
                <w:szCs w:val="22"/>
              </w:rPr>
              <w:t xml:space="preserve">As such, the final scenarios are not probabilistic, predictive, or a perceived ‘most likely’ outcome of climate change. </w:t>
            </w:r>
          </w:p>
          <w:p w14:paraId="20AEA1DA" w14:textId="77777777" w:rsidR="006574FC" w:rsidRPr="00090E9F" w:rsidRDefault="006574FC" w:rsidP="00706DED">
            <w:pPr>
              <w:jc w:val="both"/>
              <w:rPr>
                <w:rFonts w:ascii="Arial" w:hAnsi="Arial" w:cs="Arial"/>
                <w:b/>
                <w:sz w:val="22"/>
                <w:szCs w:val="22"/>
              </w:rPr>
            </w:pPr>
          </w:p>
          <w:p w14:paraId="261EC656" w14:textId="2669F05C" w:rsidR="00C8423A" w:rsidRPr="00090E9F" w:rsidRDefault="0065012F" w:rsidP="00706DED">
            <w:pPr>
              <w:jc w:val="both"/>
              <w:rPr>
                <w:rFonts w:ascii="Arial" w:hAnsi="Arial" w:cs="Arial"/>
                <w:b/>
                <w:sz w:val="22"/>
                <w:szCs w:val="22"/>
              </w:rPr>
            </w:pPr>
            <w:r w:rsidRPr="00090E9F">
              <w:rPr>
                <w:rFonts w:ascii="Arial" w:hAnsi="Arial" w:cs="Arial"/>
                <w:b/>
                <w:sz w:val="22"/>
                <w:szCs w:val="22"/>
              </w:rPr>
              <w:t xml:space="preserve">Significance of the work for policy and practice </w:t>
            </w:r>
          </w:p>
          <w:p w14:paraId="0D00390A" w14:textId="55DEBC69" w:rsidR="001A7639" w:rsidRDefault="001A7639" w:rsidP="001A7639">
            <w:pPr>
              <w:jc w:val="both"/>
              <w:rPr>
                <w:rFonts w:ascii="Arial" w:hAnsi="Arial" w:cs="Arial"/>
                <w:sz w:val="22"/>
                <w:szCs w:val="22"/>
              </w:rPr>
            </w:pPr>
            <w:r w:rsidRPr="00090E9F">
              <w:rPr>
                <w:rFonts w:ascii="Arial" w:hAnsi="Arial" w:cs="Arial"/>
                <w:bCs/>
                <w:sz w:val="22"/>
                <w:szCs w:val="22"/>
              </w:rPr>
              <w:t xml:space="preserve">The resulting process and outputs provide a worked example for organisations to assess current and future climate-related risk, and associated guidance which was </w:t>
            </w:r>
            <w:r w:rsidRPr="00090E9F">
              <w:rPr>
                <w:rFonts w:ascii="Arial" w:hAnsi="Arial" w:cs="Arial"/>
                <w:bCs/>
                <w:sz w:val="22"/>
                <w:szCs w:val="22"/>
              </w:rPr>
              <w:lastRenderedPageBreak/>
              <w:t xml:space="preserve">incorporated into a scenarios toolkit. Furthermore, the process–with input from across the organisation – helped to build </w:t>
            </w:r>
            <w:r w:rsidRPr="00090E9F">
              <w:rPr>
                <w:rFonts w:ascii="Arial" w:hAnsi="Arial" w:cs="Arial"/>
                <w:sz w:val="22"/>
                <w:szCs w:val="22"/>
              </w:rPr>
              <w:t xml:space="preserve">internal capability and capacity, enhancing futures literacy. Finally the scenarios provided a set of coherent, internally consistent narratives to challenge and test current organisational processes, and provoke critical thinking. </w:t>
            </w:r>
          </w:p>
          <w:p w14:paraId="2399313F" w14:textId="77777777" w:rsidR="001A7639" w:rsidRPr="00090E9F" w:rsidRDefault="001A7639" w:rsidP="001A7639">
            <w:pPr>
              <w:jc w:val="both"/>
              <w:rPr>
                <w:rFonts w:ascii="Arial" w:hAnsi="Arial" w:cs="Arial"/>
                <w:bCs/>
                <w:sz w:val="22"/>
                <w:szCs w:val="22"/>
              </w:rPr>
            </w:pPr>
          </w:p>
          <w:p w14:paraId="5CC99AFA" w14:textId="69CDDFA2" w:rsidR="00EB2145" w:rsidRPr="00090E9F" w:rsidRDefault="00EB2145" w:rsidP="00EB2145">
            <w:pPr>
              <w:rPr>
                <w:rFonts w:ascii="Arial" w:hAnsi="Arial" w:cs="Arial"/>
                <w:color w:val="212121"/>
                <w:sz w:val="22"/>
                <w:szCs w:val="22"/>
              </w:rPr>
            </w:pPr>
            <w:r w:rsidRPr="00090E9F">
              <w:rPr>
                <w:rFonts w:ascii="Arial" w:hAnsi="Arial" w:cs="Arial"/>
                <w:color w:val="212121"/>
                <w:sz w:val="22"/>
                <w:szCs w:val="22"/>
              </w:rPr>
              <w:t xml:space="preserve">Challenges were agreeing on a practical scope, limiting the scenario breadth (number of drivers), </w:t>
            </w:r>
            <w:r w:rsidR="006574FC">
              <w:rPr>
                <w:rFonts w:ascii="Arial" w:hAnsi="Arial" w:cs="Arial"/>
                <w:color w:val="212121"/>
                <w:sz w:val="22"/>
                <w:szCs w:val="22"/>
              </w:rPr>
              <w:t>and ensuring narratives were plausible (</w:t>
            </w:r>
            <w:r w:rsidR="0011284B">
              <w:rPr>
                <w:rFonts w:ascii="Arial" w:hAnsi="Arial" w:cs="Arial"/>
                <w:color w:val="212121"/>
                <w:sz w:val="22"/>
                <w:szCs w:val="22"/>
              </w:rPr>
              <w:t xml:space="preserve">i.e. </w:t>
            </w:r>
            <w:r w:rsidRPr="00090E9F">
              <w:rPr>
                <w:rFonts w:ascii="Arial" w:hAnsi="Arial" w:cs="Arial"/>
                <w:color w:val="212121"/>
                <w:sz w:val="22"/>
                <w:szCs w:val="22"/>
              </w:rPr>
              <w:t>continuing to explore the question: ‘what would cause this to happen’ and working upstream and testing assumptions)</w:t>
            </w:r>
            <w:r w:rsidR="0011284B">
              <w:rPr>
                <w:rFonts w:ascii="Arial" w:hAnsi="Arial" w:cs="Arial"/>
                <w:color w:val="212121"/>
                <w:sz w:val="22"/>
                <w:szCs w:val="22"/>
              </w:rPr>
              <w:t>.</w:t>
            </w:r>
          </w:p>
          <w:p w14:paraId="771BAC78" w14:textId="77777777" w:rsidR="001A7639" w:rsidRDefault="001A7639"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D4532"/>
    <w:multiLevelType w:val="hybridMultilevel"/>
    <w:tmpl w:val="CC22C8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2"/>
  </w:num>
  <w:num w:numId="4" w16cid:durableId="61344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90E9F"/>
    <w:rsid w:val="000B3D47"/>
    <w:rsid w:val="00105E39"/>
    <w:rsid w:val="0011284B"/>
    <w:rsid w:val="00132AE5"/>
    <w:rsid w:val="00137F5C"/>
    <w:rsid w:val="00155315"/>
    <w:rsid w:val="001841F9"/>
    <w:rsid w:val="00187B87"/>
    <w:rsid w:val="001A7639"/>
    <w:rsid w:val="00236B96"/>
    <w:rsid w:val="00247C60"/>
    <w:rsid w:val="00256963"/>
    <w:rsid w:val="002E3AA3"/>
    <w:rsid w:val="00317356"/>
    <w:rsid w:val="0034503D"/>
    <w:rsid w:val="00354C31"/>
    <w:rsid w:val="00375B20"/>
    <w:rsid w:val="00386D01"/>
    <w:rsid w:val="003D4985"/>
    <w:rsid w:val="004049E7"/>
    <w:rsid w:val="0042651D"/>
    <w:rsid w:val="00462B90"/>
    <w:rsid w:val="004828A0"/>
    <w:rsid w:val="004B69C7"/>
    <w:rsid w:val="004D193B"/>
    <w:rsid w:val="004F4CE8"/>
    <w:rsid w:val="004F5C81"/>
    <w:rsid w:val="0053222C"/>
    <w:rsid w:val="005469BD"/>
    <w:rsid w:val="00550B17"/>
    <w:rsid w:val="005854B8"/>
    <w:rsid w:val="0065012F"/>
    <w:rsid w:val="006574FC"/>
    <w:rsid w:val="0068043B"/>
    <w:rsid w:val="00681CA7"/>
    <w:rsid w:val="008235E8"/>
    <w:rsid w:val="008773DF"/>
    <w:rsid w:val="008B01BA"/>
    <w:rsid w:val="008B50A0"/>
    <w:rsid w:val="008C0C35"/>
    <w:rsid w:val="008C22AD"/>
    <w:rsid w:val="008C2633"/>
    <w:rsid w:val="008D3F36"/>
    <w:rsid w:val="008E3D8D"/>
    <w:rsid w:val="008F2F93"/>
    <w:rsid w:val="009010B0"/>
    <w:rsid w:val="00906B39"/>
    <w:rsid w:val="00963443"/>
    <w:rsid w:val="009C374A"/>
    <w:rsid w:val="009F3B6E"/>
    <w:rsid w:val="009F4EA0"/>
    <w:rsid w:val="00A9432B"/>
    <w:rsid w:val="00AE3933"/>
    <w:rsid w:val="00B026E8"/>
    <w:rsid w:val="00BA0872"/>
    <w:rsid w:val="00BA26BB"/>
    <w:rsid w:val="00BC6810"/>
    <w:rsid w:val="00BE0B4D"/>
    <w:rsid w:val="00BE58D6"/>
    <w:rsid w:val="00C25C9F"/>
    <w:rsid w:val="00C26081"/>
    <w:rsid w:val="00C4126D"/>
    <w:rsid w:val="00C76C99"/>
    <w:rsid w:val="00C8423A"/>
    <w:rsid w:val="00CE53FE"/>
    <w:rsid w:val="00D03212"/>
    <w:rsid w:val="00D716AD"/>
    <w:rsid w:val="00D8565B"/>
    <w:rsid w:val="00DB7929"/>
    <w:rsid w:val="00DD1BB3"/>
    <w:rsid w:val="00E612FF"/>
    <w:rsid w:val="00EB1B31"/>
    <w:rsid w:val="00EB2145"/>
    <w:rsid w:val="00EE110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B96"/>
    <w:rPr>
      <w:rFonts w:ascii="Times New Roman" w:eastAsia="Times New Roman" w:hAnsi="Times New Roman" w:cs="Times New Roman"/>
      <w:lang w:val="en-N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eastAsiaTheme="minorEastAsia" w:hAnsi="Segoe UI" w:cs="Segoe UI"/>
      <w:sz w:val="18"/>
      <w:szCs w:val="18"/>
      <w:lang w:val="en-CA" w:eastAsia="zh-TW"/>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rFonts w:asciiTheme="minorHAnsi" w:eastAsiaTheme="minorEastAsia" w:hAnsiTheme="minorHAnsi" w:cstheme="minorBidi"/>
      <w:sz w:val="20"/>
      <w:szCs w:val="20"/>
      <w:lang w:val="en-CA" w:eastAsia="zh-TW"/>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rPr>
      <w:rFonts w:asciiTheme="minorHAnsi" w:eastAsiaTheme="minorEastAsia" w:hAnsiTheme="minorHAnsi" w:cstheme="minorBidi"/>
      <w:lang w:val="en-CA" w:eastAsia="zh-TW"/>
    </w:rPr>
  </w:style>
  <w:style w:type="paragraph" w:styleId="NormalWeb">
    <w:name w:val="Normal (Web)"/>
    <w:basedOn w:val="Normal"/>
    <w:uiPriority w:val="99"/>
    <w:semiHidden/>
    <w:unhideWhenUsed/>
    <w:rsid w:val="001A7639"/>
    <w:pPr>
      <w:spacing w:before="100" w:beforeAutospacing="1" w:after="100" w:afterAutospacing="1"/>
    </w:pPr>
  </w:style>
  <w:style w:type="paragraph" w:customStyle="1" w:styleId="paragraph">
    <w:name w:val="paragraph"/>
    <w:basedOn w:val="Normal"/>
    <w:rsid w:val="001A7639"/>
    <w:pPr>
      <w:spacing w:before="100" w:beforeAutospacing="1" w:after="100" w:afterAutospacing="1"/>
    </w:pPr>
    <w:rPr>
      <w:lang w:eastAsia="en-NZ"/>
    </w:rPr>
  </w:style>
  <w:style w:type="character" w:customStyle="1" w:styleId="apple-converted-space">
    <w:name w:val="apple-converted-space"/>
    <w:basedOn w:val="DefaultParagraphFont"/>
    <w:rsid w:val="00EB2145"/>
  </w:style>
  <w:style w:type="character" w:customStyle="1" w:styleId="outlook-search-highlight">
    <w:name w:val="outlook-search-highlight"/>
    <w:basedOn w:val="DefaultParagraphFont"/>
    <w:rsid w:val="0023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484271268">
      <w:bodyDiv w:val="1"/>
      <w:marLeft w:val="0"/>
      <w:marRight w:val="0"/>
      <w:marTop w:val="0"/>
      <w:marBottom w:val="0"/>
      <w:divBdr>
        <w:top w:val="none" w:sz="0" w:space="0" w:color="auto"/>
        <w:left w:val="none" w:sz="0" w:space="0" w:color="auto"/>
        <w:bottom w:val="none" w:sz="0" w:space="0" w:color="auto"/>
        <w:right w:val="none" w:sz="0" w:space="0" w:color="auto"/>
      </w:divBdr>
      <w:divsChild>
        <w:div w:id="1389379951">
          <w:marLeft w:val="0"/>
          <w:marRight w:val="0"/>
          <w:marTop w:val="0"/>
          <w:marBottom w:val="0"/>
          <w:divBdr>
            <w:top w:val="none" w:sz="0" w:space="0" w:color="auto"/>
            <w:left w:val="none" w:sz="0" w:space="0" w:color="auto"/>
            <w:bottom w:val="none" w:sz="0" w:space="0" w:color="auto"/>
            <w:right w:val="none" w:sz="0" w:space="0" w:color="auto"/>
          </w:divBdr>
          <w:divsChild>
            <w:div w:id="743990888">
              <w:marLeft w:val="0"/>
              <w:marRight w:val="0"/>
              <w:marTop w:val="0"/>
              <w:marBottom w:val="0"/>
              <w:divBdr>
                <w:top w:val="none" w:sz="0" w:space="0" w:color="auto"/>
                <w:left w:val="none" w:sz="0" w:space="0" w:color="auto"/>
                <w:bottom w:val="none" w:sz="0" w:space="0" w:color="auto"/>
                <w:right w:val="none" w:sz="0" w:space="0" w:color="auto"/>
              </w:divBdr>
              <w:divsChild>
                <w:div w:id="18683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8724">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715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3C128B4-6B38-42B9-A21D-138C6CE3315B}"/>
</file>

<file path=docProps/app.xml><?xml version="1.0" encoding="utf-8"?>
<Properties xmlns="http://schemas.openxmlformats.org/officeDocument/2006/extended-properties" xmlns:vt="http://schemas.openxmlformats.org/officeDocument/2006/docPropsVTypes">
  <Template>Normal.dotm</Template>
  <TotalTime>12</TotalTime>
  <Pages>2</Pages>
  <Words>527</Words>
  <Characters>3007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2025-03-19T02:07:00Z</dcterms:created>
  <dcterms:modified xsi:type="dcterms:W3CDTF">2025-08-09T04:34:00Z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