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3243CD" w14:paraId="5A4DE250" w14:textId="77777777">
        <w:tc>
          <w:tcPr>
            <w:tcW w:w="8640" w:type="dxa"/>
          </w:tcPr>
          <w:p w14:paraId="5A4DE24F" w14:textId="3063C6EC" w:rsidR="002B7FC8" w:rsidRPr="003243CD" w:rsidRDefault="00F16B61" w:rsidP="00E36AD7">
            <w:pPr>
              <w:jc w:val="both"/>
              <w:rPr>
                <w:rFonts w:ascii="Arial" w:hAnsi="Arial" w:cs="Arial"/>
                <w:sz w:val="22"/>
                <w:szCs w:val="22"/>
              </w:rPr>
            </w:pPr>
            <w:r w:rsidRPr="003243CD">
              <w:rPr>
                <w:rFonts w:ascii="Arial" w:hAnsi="Arial" w:cs="Arial"/>
                <w:b/>
                <w:sz w:val="22"/>
                <w:szCs w:val="22"/>
              </w:rPr>
              <w:t>Title</w:t>
            </w:r>
            <w:r w:rsidR="003A6236" w:rsidRPr="003243CD">
              <w:rPr>
                <w:rFonts w:ascii="Arial" w:hAnsi="Arial" w:cs="Arial"/>
                <w:b/>
                <w:sz w:val="22"/>
                <w:szCs w:val="22"/>
              </w:rPr>
              <w:t xml:space="preserve"> of Symposium</w:t>
            </w:r>
            <w:r w:rsidR="00CF70D5">
              <w:rPr>
                <w:rFonts w:ascii="Arial" w:hAnsi="Arial" w:cs="Arial"/>
                <w:b/>
                <w:sz w:val="22"/>
                <w:szCs w:val="22"/>
              </w:rPr>
              <w:t>:</w:t>
            </w:r>
            <w:r w:rsidR="00E36AD7" w:rsidRPr="003243CD">
              <w:rPr>
                <w:rFonts w:ascii="Arial" w:hAnsi="Arial" w:cs="Arial"/>
                <w:b/>
                <w:sz w:val="22"/>
                <w:szCs w:val="22"/>
              </w:rPr>
              <w:t xml:space="preserve"> </w:t>
            </w:r>
            <w:r w:rsidR="00CF70D5" w:rsidRPr="00CF70D5">
              <w:rPr>
                <w:rFonts w:ascii="Arial" w:hAnsi="Arial" w:cs="Arial"/>
                <w:b/>
                <w:sz w:val="22"/>
                <w:szCs w:val="22"/>
              </w:rPr>
              <w:t xml:space="preserve">Closing the tap and not mopping the floor: </w:t>
            </w:r>
            <w:r w:rsidR="00E93854" w:rsidRPr="00CA726F">
              <w:rPr>
                <w:rFonts w:ascii="Arial" w:hAnsi="Arial" w:cs="Arial"/>
                <w:b/>
                <w:sz w:val="22"/>
                <w:szCs w:val="22"/>
              </w:rPr>
              <w:t>Promoting oral health and reducing</w:t>
            </w:r>
            <w:r w:rsidR="009475FE" w:rsidRPr="00CA726F">
              <w:rPr>
                <w:rFonts w:ascii="Arial" w:hAnsi="Arial" w:cs="Arial"/>
                <w:b/>
                <w:sz w:val="22"/>
                <w:szCs w:val="22"/>
              </w:rPr>
              <w:t xml:space="preserve"> oral health inequalities</w:t>
            </w:r>
          </w:p>
        </w:tc>
      </w:tr>
      <w:tr w:rsidR="002B7FC8" w:rsidRPr="003243CD" w14:paraId="5A4DE264" w14:textId="77777777" w:rsidTr="00D71EFE">
        <w:trPr>
          <w:trHeight w:val="7663"/>
        </w:trPr>
        <w:tc>
          <w:tcPr>
            <w:tcW w:w="8640" w:type="dxa"/>
          </w:tcPr>
          <w:p w14:paraId="0C8F2057" w14:textId="77777777" w:rsidR="00893ADC" w:rsidRDefault="00893ADC" w:rsidP="0047256F">
            <w:pPr>
              <w:jc w:val="both"/>
              <w:rPr>
                <w:rFonts w:ascii="Arial" w:hAnsi="Arial" w:cs="Arial"/>
                <w:b/>
                <w:sz w:val="22"/>
                <w:szCs w:val="22"/>
              </w:rPr>
            </w:pPr>
          </w:p>
          <w:p w14:paraId="38862F74" w14:textId="31079FED" w:rsidR="0047256F" w:rsidRPr="003243CD" w:rsidRDefault="0047256F" w:rsidP="0047256F">
            <w:pPr>
              <w:jc w:val="both"/>
              <w:rPr>
                <w:rFonts w:ascii="Arial" w:hAnsi="Arial" w:cs="Arial"/>
                <w:b/>
                <w:sz w:val="22"/>
                <w:szCs w:val="22"/>
              </w:rPr>
            </w:pPr>
            <w:bookmarkStart w:id="0" w:name="_GoBack"/>
            <w:bookmarkEnd w:id="0"/>
            <w:r w:rsidRPr="003243CD">
              <w:rPr>
                <w:rFonts w:ascii="Arial" w:hAnsi="Arial" w:cs="Arial"/>
                <w:b/>
                <w:sz w:val="22"/>
                <w:szCs w:val="22"/>
              </w:rPr>
              <w:t>General Objective</w:t>
            </w:r>
          </w:p>
          <w:p w14:paraId="5D1ABD2C" w14:textId="1E6310FC" w:rsidR="00E93854" w:rsidRDefault="00AC07C9" w:rsidP="004C49AA">
            <w:pPr>
              <w:rPr>
                <w:rFonts w:ascii="Arial" w:hAnsi="Arial" w:cs="Arial"/>
                <w:sz w:val="22"/>
                <w:szCs w:val="22"/>
              </w:rPr>
            </w:pPr>
            <w:r>
              <w:rPr>
                <w:rFonts w:ascii="Arial" w:hAnsi="Arial" w:cs="Arial"/>
                <w:sz w:val="22"/>
                <w:szCs w:val="22"/>
              </w:rPr>
              <w:t>Globally, u</w:t>
            </w:r>
            <w:r w:rsidR="004C49AA" w:rsidRPr="003243CD">
              <w:rPr>
                <w:rFonts w:ascii="Arial" w:hAnsi="Arial" w:cs="Arial"/>
                <w:sz w:val="22"/>
                <w:szCs w:val="22"/>
              </w:rPr>
              <w:t xml:space="preserve">ntreated tooth decay is the most prevalent non-communicable disease. Collectively, six oral health conditions affect half of the global population. This public health burden is shared disproportionally by socially disadvantaged individuals and societies. </w:t>
            </w:r>
            <w:r w:rsidR="00E93854">
              <w:rPr>
                <w:rFonts w:ascii="Arial" w:hAnsi="Arial" w:cs="Arial"/>
                <w:sz w:val="22"/>
                <w:szCs w:val="22"/>
              </w:rPr>
              <w:t xml:space="preserve">Unhealthy diet (high sugar consumption), tobacco use, symptomatic and irregular dental attendance, poor oral hygiene and alcohol use are key behavioural determinants of oral health. Social and commercial determinants of health play key role in determining population levels of health behaviours, and when ignored, have limited capacity in addressing public health challenges posed by poor oral health. </w:t>
            </w:r>
          </w:p>
          <w:p w14:paraId="32E25047" w14:textId="77777777" w:rsidR="00E93854" w:rsidRDefault="00E93854" w:rsidP="004C49AA">
            <w:pPr>
              <w:rPr>
                <w:rFonts w:ascii="Arial" w:hAnsi="Arial" w:cs="Arial"/>
                <w:sz w:val="22"/>
                <w:szCs w:val="22"/>
              </w:rPr>
            </w:pPr>
          </w:p>
          <w:p w14:paraId="0E501F6B" w14:textId="1DDE59E6" w:rsidR="00F04A3B" w:rsidRDefault="004C49AA" w:rsidP="004C49AA">
            <w:pPr>
              <w:rPr>
                <w:rFonts w:ascii="Arial" w:hAnsi="Arial" w:cs="Arial"/>
                <w:sz w:val="22"/>
                <w:szCs w:val="22"/>
              </w:rPr>
            </w:pPr>
            <w:r w:rsidRPr="003243CD">
              <w:rPr>
                <w:rFonts w:ascii="Arial" w:hAnsi="Arial" w:cs="Arial"/>
                <w:sz w:val="22"/>
                <w:szCs w:val="22"/>
              </w:rPr>
              <w:t xml:space="preserve">In this symposium, we </w:t>
            </w:r>
            <w:r w:rsidR="00F04A3B">
              <w:rPr>
                <w:rFonts w:ascii="Arial" w:hAnsi="Arial" w:cs="Arial"/>
                <w:sz w:val="22"/>
                <w:szCs w:val="22"/>
              </w:rPr>
              <w:t>will</w:t>
            </w:r>
            <w:r w:rsidR="009475FE" w:rsidRPr="003243CD">
              <w:rPr>
                <w:rFonts w:ascii="Arial" w:hAnsi="Arial" w:cs="Arial"/>
                <w:sz w:val="22"/>
                <w:szCs w:val="22"/>
              </w:rPr>
              <w:t xml:space="preserve"> </w:t>
            </w:r>
            <w:r w:rsidR="00F04A3B">
              <w:rPr>
                <w:rFonts w:ascii="Arial" w:hAnsi="Arial" w:cs="Arial"/>
                <w:sz w:val="22"/>
                <w:szCs w:val="22"/>
              </w:rPr>
              <w:t>highlight research on the role of social conditions in oral health behaviours</w:t>
            </w:r>
            <w:r w:rsidR="00F04A3B" w:rsidRPr="003243CD">
              <w:rPr>
                <w:rFonts w:ascii="Arial" w:hAnsi="Arial" w:cs="Arial"/>
                <w:sz w:val="22"/>
                <w:szCs w:val="22"/>
              </w:rPr>
              <w:t xml:space="preserve"> </w:t>
            </w:r>
            <w:r w:rsidR="00F04A3B">
              <w:rPr>
                <w:rFonts w:ascii="Arial" w:hAnsi="Arial" w:cs="Arial"/>
                <w:sz w:val="22"/>
                <w:szCs w:val="22"/>
              </w:rPr>
              <w:t>from three countries (Australia, India and New Zealand) us</w:t>
            </w:r>
            <w:r w:rsidR="00880BBC">
              <w:rPr>
                <w:rFonts w:ascii="Arial" w:hAnsi="Arial" w:cs="Arial"/>
                <w:sz w:val="22"/>
                <w:szCs w:val="22"/>
              </w:rPr>
              <w:t>ing</w:t>
            </w:r>
            <w:r w:rsidR="00F04A3B">
              <w:rPr>
                <w:rFonts w:ascii="Arial" w:hAnsi="Arial" w:cs="Arial"/>
                <w:sz w:val="22"/>
                <w:szCs w:val="22"/>
              </w:rPr>
              <w:t xml:space="preserve"> diverse and innovative methodological approaches (mixed methods, evidence synthesis,</w:t>
            </w:r>
            <w:r w:rsidR="00DF27DC">
              <w:rPr>
                <w:rFonts w:ascii="Arial" w:hAnsi="Arial" w:cs="Arial"/>
                <w:sz w:val="22"/>
                <w:szCs w:val="22"/>
              </w:rPr>
              <w:t xml:space="preserve"> camera and GPS tracking,</w:t>
            </w:r>
            <w:r w:rsidR="00F04A3B">
              <w:rPr>
                <w:rFonts w:ascii="Arial" w:hAnsi="Arial" w:cs="Arial"/>
                <w:sz w:val="22"/>
                <w:szCs w:val="22"/>
              </w:rPr>
              <w:t xml:space="preserve"> and multilevel modelling)</w:t>
            </w:r>
            <w:r w:rsidR="00880BBC">
              <w:rPr>
                <w:rFonts w:ascii="Arial" w:hAnsi="Arial" w:cs="Arial"/>
                <w:sz w:val="22"/>
                <w:szCs w:val="22"/>
              </w:rPr>
              <w:t>. We discuss</w:t>
            </w:r>
            <w:r w:rsidR="00F04A3B">
              <w:rPr>
                <w:rFonts w:ascii="Arial" w:hAnsi="Arial" w:cs="Arial"/>
                <w:sz w:val="22"/>
                <w:szCs w:val="22"/>
              </w:rPr>
              <w:t xml:space="preserve"> implications</w:t>
            </w:r>
            <w:r w:rsidR="00880BBC">
              <w:rPr>
                <w:rFonts w:ascii="Arial" w:hAnsi="Arial" w:cs="Arial"/>
                <w:sz w:val="22"/>
                <w:szCs w:val="22"/>
              </w:rPr>
              <w:t xml:space="preserve"> of our findings</w:t>
            </w:r>
            <w:r w:rsidR="00F04A3B">
              <w:rPr>
                <w:rFonts w:ascii="Arial" w:hAnsi="Arial" w:cs="Arial"/>
                <w:sz w:val="22"/>
                <w:szCs w:val="22"/>
              </w:rPr>
              <w:t xml:space="preserve"> for informing population-level prevention strategies</w:t>
            </w:r>
            <w:r w:rsidR="00880BBC">
              <w:rPr>
                <w:rFonts w:ascii="Arial" w:hAnsi="Arial" w:cs="Arial"/>
                <w:sz w:val="22"/>
                <w:szCs w:val="22"/>
              </w:rPr>
              <w:t xml:space="preserve"> and oral health promotion programs</w:t>
            </w:r>
            <w:r w:rsidR="00F04A3B">
              <w:rPr>
                <w:rFonts w:ascii="Arial" w:hAnsi="Arial" w:cs="Arial"/>
                <w:sz w:val="22"/>
                <w:szCs w:val="22"/>
              </w:rPr>
              <w:t xml:space="preserve"> for preventing oral diseases and reducing social inequalities in oral health.  </w:t>
            </w:r>
          </w:p>
          <w:p w14:paraId="208DD594" w14:textId="7C47508D" w:rsidR="00AF5BF8" w:rsidRPr="003243CD" w:rsidRDefault="00AF5BF8" w:rsidP="004C49AA">
            <w:pPr>
              <w:rPr>
                <w:rFonts w:ascii="Arial" w:hAnsi="Arial" w:cs="Arial"/>
                <w:sz w:val="22"/>
                <w:szCs w:val="22"/>
              </w:rPr>
            </w:pPr>
          </w:p>
          <w:p w14:paraId="56EA1D7E" w14:textId="6952C638" w:rsidR="00AF5BF8" w:rsidRPr="003243CD" w:rsidRDefault="00DF7BA2" w:rsidP="004C49AA">
            <w:pPr>
              <w:rPr>
                <w:rFonts w:ascii="Arial" w:hAnsi="Arial" w:cs="Arial"/>
                <w:sz w:val="22"/>
                <w:szCs w:val="22"/>
              </w:rPr>
            </w:pPr>
            <w:r w:rsidRPr="003243CD">
              <w:rPr>
                <w:rFonts w:ascii="Arial" w:hAnsi="Arial" w:cs="Arial"/>
                <w:b/>
                <w:sz w:val="22"/>
                <w:szCs w:val="22"/>
              </w:rPr>
              <w:t xml:space="preserve">5 minutes: </w:t>
            </w:r>
            <w:r w:rsidR="00AF5BF8" w:rsidRPr="003243CD">
              <w:rPr>
                <w:rFonts w:ascii="Arial" w:hAnsi="Arial" w:cs="Arial"/>
                <w:b/>
                <w:sz w:val="22"/>
                <w:szCs w:val="22"/>
              </w:rPr>
              <w:t>Introduction</w:t>
            </w:r>
            <w:r w:rsidR="00666996" w:rsidRPr="003243CD">
              <w:rPr>
                <w:rFonts w:ascii="Arial" w:hAnsi="Arial" w:cs="Arial"/>
                <w:sz w:val="22"/>
                <w:szCs w:val="22"/>
              </w:rPr>
              <w:t xml:space="preserve">: </w:t>
            </w:r>
            <w:proofErr w:type="spellStart"/>
            <w:r w:rsidR="00666996" w:rsidRPr="003243CD">
              <w:rPr>
                <w:rFonts w:ascii="Arial" w:hAnsi="Arial" w:cs="Arial"/>
                <w:sz w:val="22"/>
                <w:szCs w:val="22"/>
              </w:rPr>
              <w:t>Dr.</w:t>
            </w:r>
            <w:proofErr w:type="spellEnd"/>
            <w:r w:rsidR="00666996" w:rsidRPr="003243CD">
              <w:rPr>
                <w:rFonts w:ascii="Arial" w:hAnsi="Arial" w:cs="Arial"/>
                <w:sz w:val="22"/>
                <w:szCs w:val="22"/>
              </w:rPr>
              <w:t xml:space="preserve"> Ankur Singh (Early career researcher, University of Melbourne, Australia)</w:t>
            </w:r>
          </w:p>
          <w:p w14:paraId="13045FD9" w14:textId="4FD303C8" w:rsidR="00666996" w:rsidRPr="003243CD" w:rsidRDefault="00880BBC" w:rsidP="004C49AA">
            <w:pPr>
              <w:rPr>
                <w:rFonts w:ascii="Arial" w:hAnsi="Arial" w:cs="Arial"/>
                <w:sz w:val="22"/>
                <w:szCs w:val="22"/>
              </w:rPr>
            </w:pPr>
            <w:r>
              <w:rPr>
                <w:rFonts w:ascii="Arial" w:hAnsi="Arial" w:cs="Arial"/>
                <w:b/>
                <w:sz w:val="22"/>
                <w:szCs w:val="22"/>
              </w:rPr>
              <w:t>10</w:t>
            </w:r>
            <w:r w:rsidRPr="003243CD">
              <w:rPr>
                <w:rFonts w:ascii="Arial" w:hAnsi="Arial" w:cs="Arial"/>
                <w:b/>
                <w:sz w:val="22"/>
                <w:szCs w:val="22"/>
              </w:rPr>
              <w:t xml:space="preserve"> </w:t>
            </w:r>
            <w:r w:rsidR="00DF7BA2" w:rsidRPr="003243CD">
              <w:rPr>
                <w:rFonts w:ascii="Arial" w:hAnsi="Arial" w:cs="Arial"/>
                <w:b/>
                <w:sz w:val="22"/>
                <w:szCs w:val="22"/>
              </w:rPr>
              <w:t xml:space="preserve">minutes: </w:t>
            </w:r>
            <w:r w:rsidR="00666996" w:rsidRPr="003243CD">
              <w:rPr>
                <w:rFonts w:ascii="Arial" w:hAnsi="Arial" w:cs="Arial"/>
                <w:b/>
                <w:sz w:val="22"/>
                <w:szCs w:val="22"/>
              </w:rPr>
              <w:t>Sugar consumption in Australia – Applying mixed methodology to identify appropriate prevention strategies</w:t>
            </w:r>
            <w:r w:rsidR="00666996" w:rsidRPr="003243CD">
              <w:rPr>
                <w:rFonts w:ascii="Arial" w:hAnsi="Arial" w:cs="Arial"/>
                <w:sz w:val="22"/>
                <w:szCs w:val="22"/>
              </w:rPr>
              <w:t xml:space="preserve">: </w:t>
            </w:r>
            <w:proofErr w:type="spellStart"/>
            <w:r w:rsidR="00666996" w:rsidRPr="003243CD">
              <w:rPr>
                <w:rFonts w:ascii="Arial" w:hAnsi="Arial" w:cs="Arial"/>
                <w:sz w:val="22"/>
                <w:szCs w:val="22"/>
              </w:rPr>
              <w:t>Dr.</w:t>
            </w:r>
            <w:proofErr w:type="spellEnd"/>
            <w:r w:rsidR="00666996" w:rsidRPr="003243CD">
              <w:rPr>
                <w:rFonts w:ascii="Arial" w:hAnsi="Arial" w:cs="Arial"/>
                <w:sz w:val="22"/>
                <w:szCs w:val="22"/>
              </w:rPr>
              <w:t xml:space="preserve"> Adyya Gupta (Ph.D. Candidate, University of Wollongong, Australia)</w:t>
            </w:r>
          </w:p>
          <w:p w14:paraId="1E8E3F0B" w14:textId="1D978282" w:rsidR="00CF70D5" w:rsidRPr="00CF70D5" w:rsidRDefault="00880BBC" w:rsidP="00CF70D5">
            <w:pPr>
              <w:rPr>
                <w:rFonts w:ascii="Arial" w:hAnsi="Arial" w:cs="Arial"/>
                <w:sz w:val="22"/>
                <w:szCs w:val="22"/>
              </w:rPr>
            </w:pPr>
            <w:r w:rsidRPr="00CA726F">
              <w:rPr>
                <w:rFonts w:ascii="Arial" w:hAnsi="Arial" w:cs="Arial"/>
                <w:b/>
                <w:sz w:val="22"/>
                <w:szCs w:val="22"/>
              </w:rPr>
              <w:t>10 minutes:</w:t>
            </w:r>
            <w:r>
              <w:rPr>
                <w:rFonts w:ascii="Arial" w:hAnsi="Arial" w:cs="Arial"/>
                <w:b/>
                <w:sz w:val="22"/>
                <w:szCs w:val="22"/>
              </w:rPr>
              <w:t xml:space="preserve"> Promoting oral health in New Zealand: </w:t>
            </w:r>
            <w:r w:rsidR="008D026E">
              <w:rPr>
                <w:rFonts w:ascii="Arial" w:hAnsi="Arial" w:cs="Arial"/>
                <w:b/>
                <w:sz w:val="22"/>
                <w:szCs w:val="22"/>
              </w:rPr>
              <w:t xml:space="preserve">Tackling commercial determinants of oral health among children </w:t>
            </w:r>
            <w:proofErr w:type="spellStart"/>
            <w:r w:rsidR="00CF70D5">
              <w:rPr>
                <w:rFonts w:ascii="Arial" w:hAnsi="Arial" w:cs="Arial"/>
                <w:sz w:val="22"/>
                <w:szCs w:val="22"/>
              </w:rPr>
              <w:t>Dr.</w:t>
            </w:r>
            <w:proofErr w:type="spellEnd"/>
            <w:r w:rsidR="00CF70D5">
              <w:rPr>
                <w:rFonts w:ascii="Arial" w:hAnsi="Arial" w:cs="Arial"/>
                <w:sz w:val="22"/>
                <w:szCs w:val="22"/>
              </w:rPr>
              <w:t xml:space="preserve"> Moira Smith (</w:t>
            </w:r>
            <w:r w:rsidR="00CF70D5" w:rsidRPr="00CF70D5">
              <w:rPr>
                <w:rFonts w:ascii="Arial" w:hAnsi="Arial" w:cs="Arial"/>
                <w:sz w:val="22"/>
                <w:szCs w:val="22"/>
              </w:rPr>
              <w:t>Deputy Director</w:t>
            </w:r>
          </w:p>
          <w:p w14:paraId="1FA93DEE" w14:textId="5EF251DF" w:rsidR="00880BBC" w:rsidRPr="00CA726F" w:rsidRDefault="00CF70D5" w:rsidP="00CF70D5">
            <w:pPr>
              <w:rPr>
                <w:rFonts w:ascii="Arial" w:hAnsi="Arial" w:cs="Arial"/>
                <w:sz w:val="22"/>
                <w:szCs w:val="22"/>
              </w:rPr>
            </w:pPr>
            <w:proofErr w:type="spellStart"/>
            <w:r w:rsidRPr="00CF70D5">
              <w:rPr>
                <w:rFonts w:ascii="Arial" w:hAnsi="Arial" w:cs="Arial"/>
                <w:sz w:val="22"/>
                <w:szCs w:val="22"/>
              </w:rPr>
              <w:t>HePPRU</w:t>
            </w:r>
            <w:proofErr w:type="spellEnd"/>
            <w:r w:rsidRPr="00CF70D5">
              <w:rPr>
                <w:rFonts w:ascii="Arial" w:hAnsi="Arial" w:cs="Arial"/>
                <w:sz w:val="22"/>
                <w:szCs w:val="22"/>
              </w:rPr>
              <w:t>: Health Promotion and Policy Research Unit</w:t>
            </w:r>
            <w:r>
              <w:rPr>
                <w:rFonts w:ascii="Arial" w:hAnsi="Arial" w:cs="Arial"/>
                <w:sz w:val="22"/>
                <w:szCs w:val="22"/>
              </w:rPr>
              <w:t>, University of Otago, New Zealand)</w:t>
            </w:r>
          </w:p>
          <w:p w14:paraId="287B65B3" w14:textId="0CC17D0C" w:rsidR="00880BBC" w:rsidRPr="00CA726F" w:rsidRDefault="00880BBC" w:rsidP="00DF7BA2">
            <w:pPr>
              <w:rPr>
                <w:rFonts w:ascii="Arial" w:hAnsi="Arial" w:cs="Arial"/>
                <w:b/>
                <w:sz w:val="22"/>
                <w:szCs w:val="22"/>
              </w:rPr>
            </w:pPr>
            <w:r w:rsidRPr="00CA726F">
              <w:rPr>
                <w:rFonts w:ascii="Arial" w:hAnsi="Arial" w:cs="Arial"/>
                <w:b/>
                <w:sz w:val="22"/>
                <w:szCs w:val="22"/>
              </w:rPr>
              <w:t xml:space="preserve">10 minutes: </w:t>
            </w:r>
            <w:r w:rsidR="00BE2424">
              <w:rPr>
                <w:rFonts w:ascii="Arial" w:hAnsi="Arial" w:cs="Arial"/>
                <w:b/>
                <w:sz w:val="22"/>
                <w:szCs w:val="22"/>
              </w:rPr>
              <w:t>Video presentations on oral health promotion practices</w:t>
            </w:r>
          </w:p>
          <w:p w14:paraId="7B4E0B90" w14:textId="77777777" w:rsidR="00CF70D5" w:rsidRDefault="00CF70D5" w:rsidP="00CF70D5">
            <w:pPr>
              <w:rPr>
                <w:rFonts w:ascii="Arial" w:hAnsi="Arial" w:cs="Arial"/>
                <w:sz w:val="22"/>
                <w:szCs w:val="22"/>
              </w:rPr>
            </w:pPr>
            <w:r>
              <w:rPr>
                <w:rFonts w:ascii="Arial" w:hAnsi="Arial" w:cs="Arial"/>
                <w:b/>
                <w:sz w:val="22"/>
                <w:szCs w:val="22"/>
              </w:rPr>
              <w:t>10</w:t>
            </w:r>
            <w:r w:rsidRPr="003243CD">
              <w:rPr>
                <w:rFonts w:ascii="Arial" w:hAnsi="Arial" w:cs="Arial"/>
                <w:b/>
                <w:sz w:val="22"/>
                <w:szCs w:val="22"/>
              </w:rPr>
              <w:t xml:space="preserve"> minutes: Quantifying role of contexts in different types of tobacco use in India: Benefits of multilevel modelling</w:t>
            </w:r>
            <w:r w:rsidRPr="003243CD">
              <w:rPr>
                <w:rFonts w:ascii="Arial" w:hAnsi="Arial" w:cs="Arial"/>
                <w:sz w:val="22"/>
                <w:szCs w:val="22"/>
              </w:rPr>
              <w:t xml:space="preserve">: </w:t>
            </w:r>
            <w:proofErr w:type="spellStart"/>
            <w:r w:rsidRPr="003243CD">
              <w:rPr>
                <w:rFonts w:ascii="Arial" w:hAnsi="Arial" w:cs="Arial"/>
                <w:sz w:val="22"/>
                <w:szCs w:val="22"/>
              </w:rPr>
              <w:t>Dr.</w:t>
            </w:r>
            <w:proofErr w:type="spellEnd"/>
            <w:r w:rsidRPr="003243CD">
              <w:rPr>
                <w:rFonts w:ascii="Arial" w:hAnsi="Arial" w:cs="Arial"/>
                <w:sz w:val="22"/>
                <w:szCs w:val="22"/>
              </w:rPr>
              <w:t xml:space="preserve"> Ankur Singh (Early career researcher, University of Melbourne, Australia)</w:t>
            </w:r>
          </w:p>
          <w:p w14:paraId="7B382E52" w14:textId="77777777" w:rsidR="00880BBC" w:rsidRPr="003243CD" w:rsidRDefault="00880BBC" w:rsidP="00DF7BA2">
            <w:pPr>
              <w:rPr>
                <w:rFonts w:ascii="Arial" w:hAnsi="Arial" w:cs="Arial"/>
                <w:sz w:val="22"/>
                <w:szCs w:val="22"/>
              </w:rPr>
            </w:pPr>
          </w:p>
          <w:p w14:paraId="0CDE619A" w14:textId="0D542E52" w:rsidR="00AF5BF8" w:rsidRPr="003243CD" w:rsidRDefault="00DF7BA2" w:rsidP="004C49AA">
            <w:pPr>
              <w:rPr>
                <w:rFonts w:ascii="Arial" w:hAnsi="Arial" w:cs="Arial"/>
                <w:b/>
                <w:sz w:val="22"/>
                <w:szCs w:val="22"/>
              </w:rPr>
            </w:pPr>
            <w:r w:rsidRPr="003243CD">
              <w:rPr>
                <w:rFonts w:ascii="Arial" w:hAnsi="Arial" w:cs="Arial"/>
                <w:b/>
                <w:sz w:val="22"/>
                <w:szCs w:val="22"/>
              </w:rPr>
              <w:t xml:space="preserve">45 minutes: Panel discussion – </w:t>
            </w:r>
            <w:r w:rsidR="00CF70D5">
              <w:rPr>
                <w:rFonts w:ascii="Arial" w:hAnsi="Arial" w:cs="Arial"/>
                <w:b/>
                <w:sz w:val="22"/>
                <w:szCs w:val="22"/>
              </w:rPr>
              <w:t>Policy and community action to reduce oral health inequalities</w:t>
            </w:r>
          </w:p>
          <w:p w14:paraId="0F5CDC1A" w14:textId="77777777" w:rsidR="004C49AA" w:rsidRPr="003243CD" w:rsidRDefault="004C49AA" w:rsidP="00E36AD7">
            <w:pPr>
              <w:jc w:val="both"/>
              <w:rPr>
                <w:rFonts w:ascii="Arial" w:hAnsi="Arial" w:cs="Arial"/>
                <w:b/>
                <w:sz w:val="22"/>
                <w:szCs w:val="22"/>
              </w:rPr>
            </w:pPr>
          </w:p>
          <w:p w14:paraId="5A4DE258" w14:textId="4D3BAA36" w:rsidR="00DA7A71" w:rsidRPr="003243CD" w:rsidRDefault="003A6236" w:rsidP="00E36AD7">
            <w:pPr>
              <w:jc w:val="both"/>
              <w:rPr>
                <w:rFonts w:ascii="Arial" w:hAnsi="Arial" w:cs="Arial"/>
                <w:b/>
                <w:sz w:val="22"/>
                <w:szCs w:val="22"/>
              </w:rPr>
            </w:pPr>
            <w:r w:rsidRPr="003243CD">
              <w:rPr>
                <w:rFonts w:ascii="Arial" w:hAnsi="Arial" w:cs="Arial"/>
                <w:b/>
                <w:sz w:val="22"/>
                <w:szCs w:val="22"/>
              </w:rPr>
              <w:t>Proposed format of the session</w:t>
            </w:r>
            <w:r w:rsidR="003243CD">
              <w:rPr>
                <w:rFonts w:ascii="Arial" w:hAnsi="Arial" w:cs="Arial"/>
                <w:b/>
                <w:sz w:val="22"/>
                <w:szCs w:val="22"/>
              </w:rPr>
              <w:t>:</w:t>
            </w:r>
            <w:r w:rsidR="003243CD" w:rsidRPr="003243CD">
              <w:rPr>
                <w:rFonts w:ascii="Arial" w:hAnsi="Arial" w:cs="Arial"/>
                <w:sz w:val="22"/>
                <w:szCs w:val="22"/>
              </w:rPr>
              <w:t xml:space="preserve"> Individual oral presentations and panel discussion for audience participation</w:t>
            </w:r>
          </w:p>
          <w:p w14:paraId="5A4DE25A" w14:textId="77777777" w:rsidR="00DA7A71" w:rsidRPr="003243CD" w:rsidRDefault="00DA7A71" w:rsidP="00E36AD7">
            <w:pPr>
              <w:jc w:val="both"/>
              <w:rPr>
                <w:rFonts w:ascii="Arial" w:hAnsi="Arial" w:cs="Arial"/>
                <w:b/>
                <w:sz w:val="22"/>
                <w:szCs w:val="22"/>
              </w:rPr>
            </w:pPr>
          </w:p>
          <w:p w14:paraId="234C157A" w14:textId="77777777" w:rsidR="003243CD" w:rsidRDefault="003A6236" w:rsidP="003243CD">
            <w:pPr>
              <w:jc w:val="both"/>
              <w:rPr>
                <w:rFonts w:ascii="Arial" w:hAnsi="Arial" w:cs="Arial"/>
                <w:b/>
                <w:sz w:val="22"/>
                <w:szCs w:val="22"/>
              </w:rPr>
            </w:pPr>
            <w:r w:rsidRPr="003243CD">
              <w:rPr>
                <w:rFonts w:ascii="Arial" w:hAnsi="Arial" w:cs="Arial"/>
                <w:b/>
                <w:sz w:val="22"/>
                <w:szCs w:val="22"/>
              </w:rPr>
              <w:t>Conference theme and/or subthemes addressed</w:t>
            </w:r>
          </w:p>
          <w:p w14:paraId="2B77BF50" w14:textId="7ABBA565" w:rsidR="00DA7A71" w:rsidRPr="00AC07C9" w:rsidRDefault="003243CD" w:rsidP="00E36AD7">
            <w:pPr>
              <w:jc w:val="both"/>
              <w:rPr>
                <w:rFonts w:ascii="Arial" w:hAnsi="Arial" w:cs="Arial"/>
                <w:b/>
                <w:szCs w:val="22"/>
              </w:rPr>
            </w:pPr>
            <w:r w:rsidRPr="0047256F">
              <w:rPr>
                <w:rFonts w:ascii="Arial" w:hAnsi="Arial" w:cs="Arial"/>
                <w:sz w:val="22"/>
                <w:szCs w:val="21"/>
              </w:rPr>
              <w:t>Ensure health equity throughout the life course, within and among countries, making each member of the global society an empowered lifelong learner.</w:t>
            </w:r>
          </w:p>
          <w:p w14:paraId="5A4DE263" w14:textId="52BE6B25" w:rsidR="0047256F" w:rsidRPr="003243CD" w:rsidRDefault="0047256F" w:rsidP="00AC07C9">
            <w:pPr>
              <w:jc w:val="both"/>
              <w:rPr>
                <w:rFonts w:ascii="Arial" w:hAnsi="Arial" w:cs="Arial"/>
                <w:bCs/>
                <w:sz w:val="22"/>
                <w:szCs w:val="22"/>
              </w:rPr>
            </w:pPr>
          </w:p>
        </w:tc>
      </w:tr>
    </w:tbl>
    <w:p w14:paraId="5A4DE265" w14:textId="4C2C1C75" w:rsidR="00490208" w:rsidRPr="003243CD" w:rsidRDefault="00490208" w:rsidP="004C45A1">
      <w:pPr>
        <w:rPr>
          <w:rFonts w:ascii="Arial" w:hAnsi="Arial" w:cs="Arial"/>
          <w:sz w:val="22"/>
          <w:szCs w:val="22"/>
        </w:rPr>
      </w:pPr>
    </w:p>
    <w:p w14:paraId="534C9516" w14:textId="77777777" w:rsidR="00490208" w:rsidRPr="003243CD" w:rsidRDefault="00490208">
      <w:pPr>
        <w:rPr>
          <w:rFonts w:ascii="Arial" w:hAnsi="Arial" w:cs="Arial"/>
          <w:sz w:val="22"/>
          <w:szCs w:val="22"/>
        </w:rPr>
      </w:pPr>
      <w:r w:rsidRPr="003243CD">
        <w:rPr>
          <w:rFonts w:ascii="Arial" w:hAnsi="Arial" w:cs="Arial"/>
          <w:sz w:val="22"/>
          <w:szCs w:val="22"/>
        </w:rPr>
        <w:br w:type="page"/>
      </w:r>
    </w:p>
    <w:tbl>
      <w:tblPr>
        <w:tblStyle w:val="TableGrid"/>
        <w:tblW w:w="8640" w:type="dxa"/>
        <w:tblInd w:w="108" w:type="dxa"/>
        <w:tblLayout w:type="fixed"/>
        <w:tblLook w:val="01E0" w:firstRow="1" w:lastRow="1" w:firstColumn="1" w:lastColumn="1" w:noHBand="0" w:noVBand="0"/>
      </w:tblPr>
      <w:tblGrid>
        <w:gridCol w:w="8640"/>
      </w:tblGrid>
      <w:tr w:rsidR="00490208" w:rsidRPr="003243CD" w14:paraId="72708220" w14:textId="77777777" w:rsidTr="00BE682F">
        <w:tc>
          <w:tcPr>
            <w:tcW w:w="8640" w:type="dxa"/>
          </w:tcPr>
          <w:p w14:paraId="3C004C00" w14:textId="3B7EA59E" w:rsidR="00490208" w:rsidRPr="003243CD" w:rsidRDefault="0047256F" w:rsidP="00BE682F">
            <w:pPr>
              <w:jc w:val="both"/>
              <w:rPr>
                <w:rFonts w:ascii="Arial" w:hAnsi="Arial" w:cs="Arial"/>
                <w:sz w:val="22"/>
                <w:szCs w:val="22"/>
              </w:rPr>
            </w:pPr>
            <w:r w:rsidRPr="003243CD">
              <w:rPr>
                <w:rFonts w:ascii="Arial" w:hAnsi="Arial" w:cs="Arial"/>
                <w:b/>
                <w:sz w:val="22"/>
                <w:szCs w:val="22"/>
              </w:rPr>
              <w:lastRenderedPageBreak/>
              <w:t>Sugar consumption in Australia – Applying mixed methodology to identify appropriate prevention strategies</w:t>
            </w:r>
          </w:p>
        </w:tc>
      </w:tr>
      <w:tr w:rsidR="00490208" w:rsidRPr="003243CD" w14:paraId="363535C0" w14:textId="77777777" w:rsidTr="00BE682F">
        <w:trPr>
          <w:trHeight w:val="7663"/>
        </w:trPr>
        <w:tc>
          <w:tcPr>
            <w:tcW w:w="8640" w:type="dxa"/>
          </w:tcPr>
          <w:p w14:paraId="20E29F57" w14:textId="77777777" w:rsidR="00893ADC" w:rsidRDefault="00893ADC" w:rsidP="00BE682F">
            <w:pPr>
              <w:jc w:val="both"/>
              <w:rPr>
                <w:rFonts w:ascii="Arial" w:hAnsi="Arial" w:cs="Arial"/>
                <w:b/>
                <w:sz w:val="22"/>
                <w:szCs w:val="22"/>
              </w:rPr>
            </w:pPr>
          </w:p>
          <w:p w14:paraId="3F8DA1CB" w14:textId="3C30380A" w:rsidR="00490208" w:rsidRDefault="00490208" w:rsidP="00BE682F">
            <w:pPr>
              <w:jc w:val="both"/>
              <w:rPr>
                <w:rFonts w:ascii="Arial" w:hAnsi="Arial" w:cs="Arial"/>
                <w:b/>
                <w:sz w:val="22"/>
                <w:szCs w:val="22"/>
              </w:rPr>
            </w:pPr>
            <w:r w:rsidRPr="003243CD">
              <w:rPr>
                <w:rFonts w:ascii="Arial" w:hAnsi="Arial" w:cs="Arial"/>
                <w:b/>
                <w:sz w:val="22"/>
                <w:szCs w:val="22"/>
              </w:rPr>
              <w:t>General Objective</w:t>
            </w:r>
          </w:p>
          <w:p w14:paraId="4C23915D" w14:textId="5E5214DE" w:rsidR="00845684" w:rsidRPr="00845684" w:rsidRDefault="00845684" w:rsidP="00845684">
            <w:pPr>
              <w:jc w:val="both"/>
              <w:rPr>
                <w:rFonts w:ascii="Arial" w:hAnsi="Arial" w:cs="Arial"/>
                <w:sz w:val="22"/>
                <w:szCs w:val="22"/>
              </w:rPr>
            </w:pPr>
            <w:r w:rsidRPr="00845684">
              <w:rPr>
                <w:rFonts w:ascii="Arial" w:hAnsi="Arial" w:cs="Arial"/>
                <w:sz w:val="22"/>
                <w:szCs w:val="22"/>
              </w:rPr>
              <w:t>Background: Understanding social determinants of sugar consumption is the first and most critical step towards identifying potential prevention strategies to tackle this problem</w:t>
            </w:r>
            <w:r w:rsidR="00D57A4D">
              <w:rPr>
                <w:rFonts w:ascii="Arial" w:hAnsi="Arial" w:cs="Arial"/>
                <w:sz w:val="22"/>
                <w:szCs w:val="22"/>
              </w:rPr>
              <w:t>.</w:t>
            </w:r>
            <w:r w:rsidRPr="00845684">
              <w:rPr>
                <w:rFonts w:ascii="Arial" w:hAnsi="Arial" w:cs="Arial"/>
                <w:sz w:val="22"/>
                <w:szCs w:val="22"/>
              </w:rPr>
              <w:t xml:space="preserve"> Thus, the aim of this study was to provide a comprehensive understanding on the factors influencing high sugar intake among Australian adults using mixed methods. </w:t>
            </w:r>
          </w:p>
          <w:p w14:paraId="0B8C7E6C" w14:textId="77777777" w:rsidR="00845684" w:rsidRPr="00845684" w:rsidRDefault="00845684" w:rsidP="00845684">
            <w:pPr>
              <w:jc w:val="both"/>
              <w:rPr>
                <w:rFonts w:ascii="Arial" w:hAnsi="Arial" w:cs="Arial"/>
                <w:sz w:val="22"/>
                <w:szCs w:val="22"/>
              </w:rPr>
            </w:pPr>
          </w:p>
          <w:p w14:paraId="27DA9C59" w14:textId="53747CA3" w:rsidR="00845684" w:rsidRPr="00845684" w:rsidRDefault="00845684" w:rsidP="00845684">
            <w:pPr>
              <w:jc w:val="both"/>
              <w:rPr>
                <w:rFonts w:ascii="Arial" w:hAnsi="Arial" w:cs="Arial"/>
                <w:sz w:val="22"/>
                <w:szCs w:val="22"/>
              </w:rPr>
            </w:pPr>
            <w:r w:rsidRPr="00845684">
              <w:rPr>
                <w:rFonts w:ascii="Arial" w:hAnsi="Arial" w:cs="Arial"/>
                <w:sz w:val="22"/>
                <w:szCs w:val="22"/>
              </w:rPr>
              <w:t xml:space="preserve">Methods: </w:t>
            </w:r>
            <w:r w:rsidR="00D57A4D">
              <w:rPr>
                <w:rFonts w:ascii="Arial" w:hAnsi="Arial" w:cs="Arial"/>
                <w:sz w:val="22"/>
                <w:szCs w:val="22"/>
              </w:rPr>
              <w:t>Evidence from</w:t>
            </w:r>
            <w:r w:rsidRPr="00845684">
              <w:rPr>
                <w:rFonts w:ascii="Arial" w:hAnsi="Arial" w:cs="Arial"/>
                <w:sz w:val="22"/>
                <w:szCs w:val="22"/>
              </w:rPr>
              <w:t xml:space="preserve"> a systematic review, a quantitative study, </w:t>
            </w:r>
            <w:r w:rsidR="00D57A4D">
              <w:rPr>
                <w:rFonts w:ascii="Arial" w:hAnsi="Arial" w:cs="Arial"/>
                <w:sz w:val="22"/>
                <w:szCs w:val="22"/>
              </w:rPr>
              <w:t xml:space="preserve">and </w:t>
            </w:r>
            <w:r w:rsidRPr="00845684">
              <w:rPr>
                <w:rFonts w:ascii="Arial" w:hAnsi="Arial" w:cs="Arial"/>
                <w:sz w:val="22"/>
                <w:szCs w:val="22"/>
              </w:rPr>
              <w:t xml:space="preserve">a qualitative study </w:t>
            </w:r>
            <w:r w:rsidR="00D57A4D">
              <w:rPr>
                <w:rFonts w:ascii="Arial" w:hAnsi="Arial" w:cs="Arial"/>
                <w:sz w:val="22"/>
                <w:szCs w:val="22"/>
              </w:rPr>
              <w:t xml:space="preserve">was collated to prepare a policy statement on </w:t>
            </w:r>
            <w:r w:rsidR="00D57A4D" w:rsidRPr="00D57A4D">
              <w:rPr>
                <w:rFonts w:ascii="Arial" w:hAnsi="Arial" w:cs="Arial"/>
                <w:sz w:val="22"/>
                <w:szCs w:val="22"/>
              </w:rPr>
              <w:t>responses to reduce free sugar intake at the population level</w:t>
            </w:r>
            <w:r w:rsidR="00D57A4D">
              <w:rPr>
                <w:rFonts w:ascii="Arial" w:hAnsi="Arial" w:cs="Arial"/>
                <w:sz w:val="22"/>
                <w:szCs w:val="22"/>
              </w:rPr>
              <w:t xml:space="preserve">. Systematic review examined </w:t>
            </w:r>
            <w:r w:rsidRPr="00845684">
              <w:rPr>
                <w:rFonts w:ascii="Arial" w:hAnsi="Arial" w:cs="Arial"/>
                <w:sz w:val="22"/>
                <w:szCs w:val="22"/>
              </w:rPr>
              <w:t>factors influencing knowledge and attitudes towards sugar intake and, assess</w:t>
            </w:r>
            <w:r w:rsidR="00D57A4D">
              <w:rPr>
                <w:rFonts w:ascii="Arial" w:hAnsi="Arial" w:cs="Arial"/>
                <w:sz w:val="22"/>
                <w:szCs w:val="22"/>
              </w:rPr>
              <w:t>ed</w:t>
            </w:r>
            <w:r w:rsidRPr="00845684">
              <w:rPr>
                <w:rFonts w:ascii="Arial" w:hAnsi="Arial" w:cs="Arial"/>
                <w:sz w:val="22"/>
                <w:szCs w:val="22"/>
              </w:rPr>
              <w:t xml:space="preserve"> the extent to which knowledge and attitude influences sugar intake. </w:t>
            </w:r>
            <w:r w:rsidR="00D57A4D">
              <w:rPr>
                <w:rFonts w:ascii="Arial" w:hAnsi="Arial" w:cs="Arial"/>
                <w:sz w:val="22"/>
                <w:szCs w:val="22"/>
              </w:rPr>
              <w:t>Q</w:t>
            </w:r>
            <w:r w:rsidRPr="00845684">
              <w:rPr>
                <w:rFonts w:ascii="Arial" w:hAnsi="Arial" w:cs="Arial"/>
                <w:sz w:val="22"/>
                <w:szCs w:val="22"/>
              </w:rPr>
              <w:t xml:space="preserve">uantitative investigation </w:t>
            </w:r>
            <w:r w:rsidR="00D57A4D">
              <w:rPr>
                <w:rFonts w:ascii="Arial" w:hAnsi="Arial" w:cs="Arial"/>
                <w:sz w:val="22"/>
                <w:szCs w:val="22"/>
              </w:rPr>
              <w:t>identified</w:t>
            </w:r>
            <w:r w:rsidRPr="00845684">
              <w:rPr>
                <w:rFonts w:ascii="Arial" w:hAnsi="Arial" w:cs="Arial"/>
                <w:sz w:val="22"/>
                <w:szCs w:val="22"/>
              </w:rPr>
              <w:t xml:space="preserve"> characteristics of Australian adults exceeding the World Health Organization’s free sugar (FS) intake recommendations of &lt;10% and compared the sources of FS among those exceeding (high FS consumers) and complying (low FS consumers)</w:t>
            </w:r>
            <w:r w:rsidR="00D57A4D">
              <w:rPr>
                <w:rFonts w:ascii="Arial" w:hAnsi="Arial" w:cs="Arial"/>
                <w:sz w:val="22"/>
                <w:szCs w:val="22"/>
              </w:rPr>
              <w:t>.</w:t>
            </w:r>
            <w:r w:rsidRPr="00845684">
              <w:rPr>
                <w:rFonts w:ascii="Arial" w:hAnsi="Arial" w:cs="Arial"/>
                <w:sz w:val="22"/>
                <w:szCs w:val="22"/>
              </w:rPr>
              <w:t xml:space="preserve"> </w:t>
            </w:r>
            <w:r w:rsidR="00D57A4D">
              <w:rPr>
                <w:rFonts w:ascii="Arial" w:hAnsi="Arial" w:cs="Arial"/>
                <w:sz w:val="22"/>
                <w:szCs w:val="22"/>
              </w:rPr>
              <w:t>The</w:t>
            </w:r>
            <w:r w:rsidRPr="00845684">
              <w:rPr>
                <w:rFonts w:ascii="Arial" w:hAnsi="Arial" w:cs="Arial"/>
                <w:sz w:val="22"/>
                <w:szCs w:val="22"/>
              </w:rPr>
              <w:t xml:space="preserve"> qualitative study designed to explore how Australian adults conceptualise and negotiate with their sugar intake.</w:t>
            </w:r>
          </w:p>
          <w:p w14:paraId="08ACD522" w14:textId="77777777" w:rsidR="00845684" w:rsidRPr="00845684" w:rsidRDefault="00845684" w:rsidP="00845684">
            <w:pPr>
              <w:jc w:val="both"/>
              <w:rPr>
                <w:rFonts w:ascii="Arial" w:hAnsi="Arial" w:cs="Arial"/>
                <w:sz w:val="22"/>
                <w:szCs w:val="22"/>
              </w:rPr>
            </w:pPr>
          </w:p>
          <w:p w14:paraId="671305B2" w14:textId="3E769ECF" w:rsidR="00845684" w:rsidRDefault="00845684" w:rsidP="00845684">
            <w:pPr>
              <w:jc w:val="both"/>
              <w:rPr>
                <w:rFonts w:ascii="Arial" w:hAnsi="Arial" w:cs="Arial"/>
                <w:sz w:val="22"/>
                <w:szCs w:val="22"/>
              </w:rPr>
            </w:pPr>
            <w:r w:rsidRPr="00845684">
              <w:rPr>
                <w:rFonts w:ascii="Arial" w:hAnsi="Arial" w:cs="Arial"/>
                <w:sz w:val="22"/>
                <w:szCs w:val="22"/>
              </w:rPr>
              <w:t xml:space="preserve">Results: </w:t>
            </w:r>
            <w:r w:rsidR="00D57A4D" w:rsidRPr="00D57A4D">
              <w:rPr>
                <w:rFonts w:ascii="Arial" w:hAnsi="Arial" w:cs="Arial"/>
                <w:sz w:val="22"/>
                <w:szCs w:val="22"/>
              </w:rPr>
              <w:t>We discuss five key actions to reduce</w:t>
            </w:r>
            <w:r w:rsidR="00D57A4D">
              <w:rPr>
                <w:rFonts w:ascii="Arial" w:hAnsi="Arial" w:cs="Arial"/>
                <w:sz w:val="22"/>
                <w:szCs w:val="22"/>
              </w:rPr>
              <w:t xml:space="preserve"> </w:t>
            </w:r>
            <w:r w:rsidR="00D57A4D" w:rsidRPr="00D57A4D">
              <w:rPr>
                <w:rFonts w:ascii="Arial" w:hAnsi="Arial" w:cs="Arial"/>
                <w:sz w:val="22"/>
                <w:szCs w:val="22"/>
              </w:rPr>
              <w:t>population levels of free sugar intake tailored to the Australian context. These are</w:t>
            </w:r>
            <w:r w:rsidR="00D57A4D">
              <w:rPr>
                <w:rFonts w:ascii="Arial" w:hAnsi="Arial" w:cs="Arial"/>
                <w:sz w:val="22"/>
                <w:szCs w:val="22"/>
              </w:rPr>
              <w:t xml:space="preserve"> </w:t>
            </w:r>
            <w:r w:rsidR="00D57A4D" w:rsidRPr="00D57A4D">
              <w:rPr>
                <w:rFonts w:ascii="Arial" w:hAnsi="Arial" w:cs="Arial"/>
                <w:sz w:val="22"/>
                <w:szCs w:val="22"/>
              </w:rPr>
              <w:t>prioritising health in trade agreements and policy; introducing a healthy levy and promoting</w:t>
            </w:r>
            <w:r w:rsidR="00D57A4D">
              <w:rPr>
                <w:rFonts w:ascii="Arial" w:hAnsi="Arial" w:cs="Arial"/>
                <w:sz w:val="22"/>
                <w:szCs w:val="22"/>
              </w:rPr>
              <w:t xml:space="preserve"> </w:t>
            </w:r>
            <w:r w:rsidR="00D57A4D" w:rsidRPr="00D57A4D">
              <w:rPr>
                <w:rFonts w:ascii="Arial" w:hAnsi="Arial" w:cs="Arial"/>
                <w:sz w:val="22"/>
                <w:szCs w:val="22"/>
              </w:rPr>
              <w:t>food reformulation; regulating advertising and improving labelling; strengthening the</w:t>
            </w:r>
            <w:r w:rsidR="00D57A4D">
              <w:rPr>
                <w:rFonts w:ascii="Arial" w:hAnsi="Arial" w:cs="Arial"/>
                <w:sz w:val="22"/>
                <w:szCs w:val="22"/>
              </w:rPr>
              <w:t xml:space="preserve"> </w:t>
            </w:r>
            <w:r w:rsidR="00D57A4D" w:rsidRPr="00D57A4D">
              <w:rPr>
                <w:rFonts w:ascii="Arial" w:hAnsi="Arial" w:cs="Arial"/>
                <w:sz w:val="22"/>
                <w:szCs w:val="22"/>
              </w:rPr>
              <w:t>current dietary guidelines; and encouraging healthy choices. These strategies are informed</w:t>
            </w:r>
            <w:r w:rsidR="00D57A4D">
              <w:rPr>
                <w:rFonts w:ascii="Arial" w:hAnsi="Arial" w:cs="Arial"/>
                <w:sz w:val="22"/>
                <w:szCs w:val="22"/>
              </w:rPr>
              <w:t xml:space="preserve"> </w:t>
            </w:r>
            <w:r w:rsidR="00D57A4D" w:rsidRPr="00D57A4D">
              <w:rPr>
                <w:rFonts w:ascii="Arial" w:hAnsi="Arial" w:cs="Arial"/>
                <w:sz w:val="22"/>
                <w:szCs w:val="22"/>
              </w:rPr>
              <w:t>by the global scientific evidence on the effectiveness of a range of policy responses to</w:t>
            </w:r>
            <w:r w:rsidR="00D57A4D">
              <w:rPr>
                <w:rFonts w:ascii="Arial" w:hAnsi="Arial" w:cs="Arial"/>
                <w:sz w:val="22"/>
                <w:szCs w:val="22"/>
              </w:rPr>
              <w:t xml:space="preserve"> </w:t>
            </w:r>
            <w:r w:rsidR="00D57A4D" w:rsidRPr="00D57A4D">
              <w:rPr>
                <w:rFonts w:ascii="Arial" w:hAnsi="Arial" w:cs="Arial"/>
                <w:sz w:val="22"/>
                <w:szCs w:val="22"/>
              </w:rPr>
              <w:t>reduce high sugar intake at the population level.</w:t>
            </w:r>
            <w:r w:rsidR="00D57A4D">
              <w:rPr>
                <w:rFonts w:ascii="Arial" w:hAnsi="Arial" w:cs="Arial"/>
                <w:sz w:val="22"/>
                <w:szCs w:val="22"/>
              </w:rPr>
              <w:t xml:space="preserve"> </w:t>
            </w:r>
          </w:p>
          <w:p w14:paraId="67B73CA5" w14:textId="77777777" w:rsidR="00D57A4D" w:rsidRPr="00845684" w:rsidRDefault="00D57A4D" w:rsidP="00845684">
            <w:pPr>
              <w:jc w:val="both"/>
              <w:rPr>
                <w:rFonts w:ascii="Arial" w:hAnsi="Arial" w:cs="Arial"/>
                <w:sz w:val="22"/>
                <w:szCs w:val="22"/>
              </w:rPr>
            </w:pPr>
          </w:p>
          <w:p w14:paraId="2FD0C162" w14:textId="516BE2FD" w:rsidR="00AC07C9" w:rsidRPr="00845684" w:rsidRDefault="00845684" w:rsidP="00845684">
            <w:pPr>
              <w:jc w:val="both"/>
              <w:rPr>
                <w:rFonts w:ascii="Arial" w:hAnsi="Arial" w:cs="Arial"/>
                <w:sz w:val="22"/>
                <w:szCs w:val="22"/>
              </w:rPr>
            </w:pPr>
            <w:r w:rsidRPr="00845684">
              <w:rPr>
                <w:rFonts w:ascii="Arial" w:hAnsi="Arial" w:cs="Arial"/>
                <w:sz w:val="22"/>
                <w:szCs w:val="22"/>
              </w:rPr>
              <w:t>Conclusions: Collectively, these studies suggest that the determinants of high sugar consumption are many and that high sugar is a population problem. Therefore</w:t>
            </w:r>
            <w:r w:rsidR="00D57A4D">
              <w:rPr>
                <w:rFonts w:ascii="Arial" w:hAnsi="Arial" w:cs="Arial"/>
                <w:sz w:val="22"/>
                <w:szCs w:val="22"/>
              </w:rPr>
              <w:t>,</w:t>
            </w:r>
            <w:r w:rsidRPr="00845684">
              <w:rPr>
                <w:rFonts w:ascii="Arial" w:hAnsi="Arial" w:cs="Arial"/>
                <w:sz w:val="22"/>
                <w:szCs w:val="22"/>
              </w:rPr>
              <w:t xml:space="preserve"> a range of strategies is needed across the spectrum of the social determinants to tackle the population levels of high sugar intake.</w:t>
            </w:r>
          </w:p>
          <w:p w14:paraId="30552BB1" w14:textId="77777777" w:rsidR="00AC07C9" w:rsidRPr="003243CD" w:rsidRDefault="00AC07C9" w:rsidP="00BE682F">
            <w:pPr>
              <w:jc w:val="both"/>
              <w:rPr>
                <w:rFonts w:ascii="Arial" w:hAnsi="Arial" w:cs="Arial"/>
                <w:b/>
                <w:sz w:val="22"/>
                <w:szCs w:val="22"/>
              </w:rPr>
            </w:pPr>
          </w:p>
          <w:p w14:paraId="2AF0F4C9" w14:textId="77777777" w:rsidR="0096227B" w:rsidRPr="00AC07C9" w:rsidRDefault="008B399E" w:rsidP="0096227B">
            <w:pPr>
              <w:jc w:val="both"/>
              <w:rPr>
                <w:rFonts w:ascii="Arial" w:hAnsi="Arial" w:cs="Arial"/>
                <w:sz w:val="22"/>
                <w:szCs w:val="22"/>
              </w:rPr>
            </w:pPr>
            <w:r w:rsidRPr="003243CD">
              <w:rPr>
                <w:rFonts w:ascii="Arial" w:hAnsi="Arial" w:cs="Arial"/>
                <w:b/>
                <w:sz w:val="22"/>
                <w:szCs w:val="22"/>
              </w:rPr>
              <w:t>Proposed format of the session</w:t>
            </w:r>
            <w:r>
              <w:rPr>
                <w:rFonts w:ascii="Arial" w:hAnsi="Arial" w:cs="Arial"/>
                <w:b/>
                <w:sz w:val="22"/>
                <w:szCs w:val="22"/>
              </w:rPr>
              <w:t>:</w:t>
            </w:r>
            <w:r w:rsidRPr="003243CD">
              <w:rPr>
                <w:rFonts w:ascii="Arial" w:hAnsi="Arial" w:cs="Arial"/>
                <w:sz w:val="22"/>
                <w:szCs w:val="22"/>
              </w:rPr>
              <w:t xml:space="preserve"> </w:t>
            </w:r>
            <w:r w:rsidR="0096227B" w:rsidRPr="00AC07C9">
              <w:rPr>
                <w:rFonts w:ascii="Arial" w:hAnsi="Arial" w:cs="Arial"/>
                <w:sz w:val="22"/>
                <w:szCs w:val="22"/>
              </w:rPr>
              <w:t>Oral Presentation</w:t>
            </w:r>
          </w:p>
          <w:p w14:paraId="6EF2D124" w14:textId="77777777" w:rsidR="008B399E" w:rsidRPr="003243CD" w:rsidRDefault="008B399E" w:rsidP="008B399E">
            <w:pPr>
              <w:jc w:val="both"/>
              <w:rPr>
                <w:rFonts w:ascii="Arial" w:hAnsi="Arial" w:cs="Arial"/>
                <w:b/>
                <w:sz w:val="22"/>
                <w:szCs w:val="22"/>
              </w:rPr>
            </w:pPr>
          </w:p>
          <w:p w14:paraId="744E3940" w14:textId="77777777" w:rsidR="008B399E" w:rsidRDefault="008B399E" w:rsidP="008B399E">
            <w:pPr>
              <w:jc w:val="both"/>
              <w:rPr>
                <w:rFonts w:ascii="Arial" w:hAnsi="Arial" w:cs="Arial"/>
                <w:b/>
                <w:sz w:val="22"/>
                <w:szCs w:val="22"/>
              </w:rPr>
            </w:pPr>
            <w:r w:rsidRPr="003243CD">
              <w:rPr>
                <w:rFonts w:ascii="Arial" w:hAnsi="Arial" w:cs="Arial"/>
                <w:b/>
                <w:sz w:val="22"/>
                <w:szCs w:val="22"/>
              </w:rPr>
              <w:t>Conference theme and/or subthemes addressed</w:t>
            </w:r>
          </w:p>
          <w:p w14:paraId="77F75118" w14:textId="77777777" w:rsidR="008B399E" w:rsidRPr="00AC07C9" w:rsidRDefault="008B399E" w:rsidP="008B399E">
            <w:pPr>
              <w:jc w:val="both"/>
              <w:rPr>
                <w:rFonts w:ascii="Arial" w:hAnsi="Arial" w:cs="Arial"/>
                <w:b/>
                <w:szCs w:val="22"/>
              </w:rPr>
            </w:pPr>
            <w:r w:rsidRPr="0047256F">
              <w:rPr>
                <w:rFonts w:ascii="Arial" w:hAnsi="Arial" w:cs="Arial"/>
                <w:sz w:val="22"/>
                <w:szCs w:val="21"/>
              </w:rPr>
              <w:t>Ensure health equity throughout the life course, within and among countries, making each member of the global society an empowered lifelong learner.</w:t>
            </w:r>
          </w:p>
          <w:p w14:paraId="4AD3B0DF" w14:textId="77777777" w:rsidR="00490208" w:rsidRPr="003243CD" w:rsidRDefault="00490208" w:rsidP="00BE682F">
            <w:pPr>
              <w:jc w:val="both"/>
              <w:rPr>
                <w:rFonts w:ascii="Arial" w:hAnsi="Arial" w:cs="Arial"/>
                <w:bCs/>
                <w:sz w:val="22"/>
                <w:szCs w:val="22"/>
              </w:rPr>
            </w:pPr>
          </w:p>
        </w:tc>
      </w:tr>
    </w:tbl>
    <w:p w14:paraId="1BE570FB" w14:textId="1DE4AE28" w:rsidR="00F407AD" w:rsidRPr="003243CD" w:rsidRDefault="00F407AD" w:rsidP="004C45A1">
      <w:pPr>
        <w:rPr>
          <w:rFonts w:ascii="Arial" w:hAnsi="Arial" w:cs="Arial"/>
          <w:sz w:val="22"/>
          <w:szCs w:val="22"/>
        </w:rPr>
      </w:pPr>
    </w:p>
    <w:p w14:paraId="68FA018E" w14:textId="77777777" w:rsidR="00F407AD" w:rsidRPr="003243CD" w:rsidRDefault="00F407AD">
      <w:pPr>
        <w:rPr>
          <w:rFonts w:ascii="Arial" w:hAnsi="Arial" w:cs="Arial"/>
          <w:sz w:val="22"/>
          <w:szCs w:val="22"/>
        </w:rPr>
      </w:pPr>
      <w:r w:rsidRPr="003243CD">
        <w:rPr>
          <w:rFonts w:ascii="Arial" w:hAnsi="Arial" w:cs="Arial"/>
          <w:sz w:val="22"/>
          <w:szCs w:val="22"/>
        </w:rPr>
        <w:br w:type="page"/>
      </w:r>
    </w:p>
    <w:p w14:paraId="1E721F0E" w14:textId="70C77924" w:rsidR="00F407AD" w:rsidRPr="003243CD" w:rsidRDefault="00F407AD">
      <w:pPr>
        <w:rPr>
          <w:rFonts w:ascii="Arial" w:hAnsi="Arial" w:cs="Arial"/>
          <w:sz w:val="22"/>
          <w:szCs w:val="22"/>
        </w:rPr>
      </w:pPr>
    </w:p>
    <w:p w14:paraId="31C1E52A" w14:textId="39023787" w:rsidR="00F407AD" w:rsidRPr="003243CD" w:rsidRDefault="00F407AD">
      <w:pPr>
        <w:rPr>
          <w:rFonts w:ascii="Arial" w:hAnsi="Arial" w:cs="Arial"/>
          <w:sz w:val="22"/>
          <w:szCs w:val="22"/>
        </w:rPr>
      </w:pPr>
    </w:p>
    <w:tbl>
      <w:tblPr>
        <w:tblStyle w:val="TableGrid"/>
        <w:tblW w:w="8640" w:type="dxa"/>
        <w:tblInd w:w="108" w:type="dxa"/>
        <w:tblLayout w:type="fixed"/>
        <w:tblLook w:val="01E0" w:firstRow="1" w:lastRow="1" w:firstColumn="1" w:lastColumn="1" w:noHBand="0" w:noVBand="0"/>
      </w:tblPr>
      <w:tblGrid>
        <w:gridCol w:w="8640"/>
      </w:tblGrid>
      <w:tr w:rsidR="00F407AD" w:rsidRPr="003243CD" w14:paraId="0CC950A7" w14:textId="77777777" w:rsidTr="00BE682F">
        <w:tc>
          <w:tcPr>
            <w:tcW w:w="8640" w:type="dxa"/>
          </w:tcPr>
          <w:p w14:paraId="43256610" w14:textId="2518FB34" w:rsidR="00F407AD" w:rsidRPr="003243CD" w:rsidRDefault="00CF70D5" w:rsidP="00BE682F">
            <w:pPr>
              <w:jc w:val="both"/>
              <w:rPr>
                <w:rFonts w:ascii="Arial" w:hAnsi="Arial" w:cs="Arial"/>
                <w:sz w:val="22"/>
                <w:szCs w:val="22"/>
              </w:rPr>
            </w:pPr>
            <w:r>
              <w:rPr>
                <w:rFonts w:ascii="Arial" w:hAnsi="Arial" w:cs="Arial"/>
                <w:b/>
                <w:sz w:val="22"/>
                <w:szCs w:val="22"/>
              </w:rPr>
              <w:t xml:space="preserve">Promoting oral health in New Zealand: Tackling </w:t>
            </w:r>
            <w:r w:rsidR="008803AB">
              <w:rPr>
                <w:rFonts w:ascii="Arial" w:hAnsi="Arial" w:cs="Arial"/>
                <w:b/>
                <w:sz w:val="22"/>
                <w:szCs w:val="22"/>
              </w:rPr>
              <w:t>commercial</w:t>
            </w:r>
            <w:r>
              <w:rPr>
                <w:rFonts w:ascii="Arial" w:hAnsi="Arial" w:cs="Arial"/>
                <w:b/>
                <w:sz w:val="22"/>
                <w:szCs w:val="22"/>
              </w:rPr>
              <w:t xml:space="preserve"> determinants of oral health</w:t>
            </w:r>
            <w:r w:rsidR="008D026E">
              <w:rPr>
                <w:rFonts w:ascii="Arial" w:hAnsi="Arial" w:cs="Arial"/>
                <w:b/>
                <w:sz w:val="22"/>
                <w:szCs w:val="22"/>
              </w:rPr>
              <w:t xml:space="preserve"> among children</w:t>
            </w:r>
          </w:p>
        </w:tc>
      </w:tr>
      <w:tr w:rsidR="00F407AD" w:rsidRPr="003243CD" w14:paraId="72C74D51" w14:textId="77777777" w:rsidTr="00BE682F">
        <w:trPr>
          <w:trHeight w:val="7663"/>
        </w:trPr>
        <w:tc>
          <w:tcPr>
            <w:tcW w:w="8640" w:type="dxa"/>
          </w:tcPr>
          <w:p w14:paraId="2227CC2B" w14:textId="77777777" w:rsidR="00F407AD" w:rsidRPr="003243CD" w:rsidRDefault="00F407AD" w:rsidP="00BE682F">
            <w:pPr>
              <w:jc w:val="both"/>
              <w:rPr>
                <w:rFonts w:ascii="Arial" w:hAnsi="Arial" w:cs="Arial"/>
                <w:b/>
                <w:sz w:val="22"/>
                <w:szCs w:val="22"/>
              </w:rPr>
            </w:pPr>
          </w:p>
          <w:p w14:paraId="6BD05B9E" w14:textId="77777777" w:rsidR="00F407AD" w:rsidRPr="003243CD" w:rsidRDefault="00F407AD" w:rsidP="00BE682F">
            <w:pPr>
              <w:jc w:val="both"/>
              <w:rPr>
                <w:rFonts w:ascii="Arial" w:hAnsi="Arial" w:cs="Arial"/>
                <w:b/>
                <w:sz w:val="22"/>
                <w:szCs w:val="22"/>
              </w:rPr>
            </w:pPr>
            <w:r w:rsidRPr="003243CD">
              <w:rPr>
                <w:rFonts w:ascii="Arial" w:hAnsi="Arial" w:cs="Arial"/>
                <w:b/>
                <w:sz w:val="22"/>
                <w:szCs w:val="22"/>
              </w:rPr>
              <w:t>General Objective</w:t>
            </w:r>
          </w:p>
          <w:p w14:paraId="18C61B3F" w14:textId="7706025C" w:rsidR="00AC07C9" w:rsidRPr="0047256F" w:rsidRDefault="00AC07C9" w:rsidP="00AC07C9">
            <w:pPr>
              <w:jc w:val="both"/>
              <w:rPr>
                <w:rFonts w:ascii="Arial" w:hAnsi="Arial" w:cs="Arial"/>
                <w:sz w:val="22"/>
                <w:szCs w:val="22"/>
              </w:rPr>
            </w:pPr>
            <w:r w:rsidRPr="0047256F">
              <w:rPr>
                <w:rFonts w:ascii="Arial" w:hAnsi="Arial" w:cs="Arial"/>
                <w:sz w:val="22"/>
                <w:szCs w:val="22"/>
              </w:rPr>
              <w:t xml:space="preserve">Background: </w:t>
            </w:r>
            <w:r w:rsidR="008803AB">
              <w:rPr>
                <w:rFonts w:ascii="Arial" w:hAnsi="Arial" w:cs="Arial"/>
                <w:sz w:val="22"/>
                <w:szCs w:val="22"/>
              </w:rPr>
              <w:t xml:space="preserve">Oral diseases such as dental caries and periodontal diseases have high prevalence and occur more so among socially disadvantaged, despite being largely preventable. Health policies that create supportive environments can reduce population burden of oral diseases without stigmatizing and blaming individuals for poor oral health behaviours, a key drawback of individually-focussed interventions.  </w:t>
            </w:r>
            <w:r w:rsidRPr="0047256F">
              <w:rPr>
                <w:rFonts w:ascii="Arial" w:hAnsi="Arial" w:cs="Arial"/>
                <w:sz w:val="22"/>
                <w:szCs w:val="22"/>
              </w:rPr>
              <w:t xml:space="preserve">   </w:t>
            </w:r>
          </w:p>
          <w:p w14:paraId="03100A98" w14:textId="77777777" w:rsidR="00AC07C9" w:rsidRPr="0047256F" w:rsidRDefault="00AC07C9" w:rsidP="00AC07C9">
            <w:pPr>
              <w:jc w:val="both"/>
              <w:rPr>
                <w:rFonts w:ascii="Arial" w:hAnsi="Arial" w:cs="Arial"/>
                <w:sz w:val="22"/>
                <w:szCs w:val="22"/>
              </w:rPr>
            </w:pPr>
          </w:p>
          <w:p w14:paraId="1973205E" w14:textId="4E380AD6" w:rsidR="00AC07C9" w:rsidRPr="0047256F" w:rsidRDefault="00AC07C9" w:rsidP="00AC07C9">
            <w:pPr>
              <w:jc w:val="both"/>
              <w:rPr>
                <w:rFonts w:ascii="Arial" w:hAnsi="Arial" w:cs="Arial"/>
                <w:sz w:val="22"/>
                <w:szCs w:val="22"/>
              </w:rPr>
            </w:pPr>
            <w:r w:rsidRPr="0047256F">
              <w:rPr>
                <w:rFonts w:ascii="Arial" w:hAnsi="Arial" w:cs="Arial"/>
                <w:sz w:val="22"/>
                <w:szCs w:val="22"/>
              </w:rPr>
              <w:t xml:space="preserve">Methods: </w:t>
            </w:r>
            <w:r w:rsidR="008803AB">
              <w:rPr>
                <w:rFonts w:ascii="Arial" w:hAnsi="Arial" w:cs="Arial"/>
                <w:sz w:val="22"/>
                <w:szCs w:val="22"/>
              </w:rPr>
              <w:t xml:space="preserve">Using innovative data collection methods (wearable camera and GPS data), we studied the children’s exposure to </w:t>
            </w:r>
            <w:r w:rsidR="00F7286E">
              <w:rPr>
                <w:rFonts w:ascii="Arial" w:hAnsi="Arial" w:cs="Arial"/>
                <w:sz w:val="22"/>
                <w:szCs w:val="22"/>
              </w:rPr>
              <w:t xml:space="preserve">sugar sweetened </w:t>
            </w:r>
            <w:r w:rsidR="008803AB">
              <w:rPr>
                <w:rFonts w:ascii="Arial" w:hAnsi="Arial" w:cs="Arial"/>
                <w:sz w:val="22"/>
                <w:szCs w:val="22"/>
              </w:rPr>
              <w:t>beverages</w:t>
            </w:r>
            <w:r w:rsidR="00F7286E">
              <w:rPr>
                <w:rFonts w:ascii="Arial" w:hAnsi="Arial" w:cs="Arial"/>
                <w:sz w:val="22"/>
                <w:szCs w:val="22"/>
              </w:rPr>
              <w:t xml:space="preserve"> (SSBs)</w:t>
            </w:r>
            <w:r w:rsidR="008803AB">
              <w:rPr>
                <w:rFonts w:ascii="Arial" w:hAnsi="Arial" w:cs="Arial"/>
                <w:sz w:val="22"/>
                <w:szCs w:val="22"/>
              </w:rPr>
              <w:t xml:space="preserve"> and al</w:t>
            </w:r>
            <w:r w:rsidR="00F7286E">
              <w:rPr>
                <w:rFonts w:ascii="Arial" w:hAnsi="Arial" w:cs="Arial"/>
                <w:sz w:val="22"/>
                <w:szCs w:val="22"/>
              </w:rPr>
              <w:t>cohol marketing among children.</w:t>
            </w:r>
          </w:p>
          <w:p w14:paraId="70AD8400" w14:textId="77777777" w:rsidR="00AC07C9" w:rsidRPr="0047256F" w:rsidRDefault="00AC07C9" w:rsidP="00AC07C9">
            <w:pPr>
              <w:jc w:val="both"/>
              <w:rPr>
                <w:rFonts w:ascii="Arial" w:hAnsi="Arial" w:cs="Arial"/>
                <w:sz w:val="22"/>
                <w:szCs w:val="22"/>
              </w:rPr>
            </w:pPr>
          </w:p>
          <w:p w14:paraId="4BADDA47" w14:textId="749F7337" w:rsidR="00AC07C9" w:rsidRPr="0047256F" w:rsidRDefault="00AC07C9" w:rsidP="00AC07C9">
            <w:pPr>
              <w:jc w:val="both"/>
              <w:rPr>
                <w:rFonts w:ascii="Arial" w:hAnsi="Arial" w:cs="Arial"/>
                <w:sz w:val="22"/>
                <w:szCs w:val="22"/>
              </w:rPr>
            </w:pPr>
            <w:r w:rsidRPr="0047256F">
              <w:rPr>
                <w:rFonts w:ascii="Arial" w:hAnsi="Arial" w:cs="Arial"/>
                <w:sz w:val="22"/>
                <w:szCs w:val="22"/>
              </w:rPr>
              <w:t xml:space="preserve">Results: </w:t>
            </w:r>
            <w:r w:rsidR="00F7286E">
              <w:rPr>
                <w:rFonts w:ascii="Arial" w:hAnsi="Arial" w:cs="Arial"/>
                <w:sz w:val="22"/>
                <w:szCs w:val="22"/>
              </w:rPr>
              <w:t>Findings showed that SSBs are typical feature of everyday environments of children. While schools and home presented with a higher availability of water and unflavoured milk, recreational venues and food retail outlets were dominated with SSBs. Similar results were identified for alcohol marketing.</w:t>
            </w:r>
          </w:p>
          <w:p w14:paraId="679BAD62" w14:textId="77777777" w:rsidR="00AC07C9" w:rsidRPr="0047256F" w:rsidRDefault="00AC07C9" w:rsidP="00AC07C9">
            <w:pPr>
              <w:jc w:val="both"/>
              <w:rPr>
                <w:rFonts w:ascii="Arial" w:hAnsi="Arial" w:cs="Arial"/>
                <w:sz w:val="22"/>
                <w:szCs w:val="22"/>
              </w:rPr>
            </w:pPr>
          </w:p>
          <w:p w14:paraId="5A576F67" w14:textId="30599F56" w:rsidR="00AC07C9" w:rsidRPr="0047256F" w:rsidRDefault="00AC07C9" w:rsidP="00AC07C9">
            <w:pPr>
              <w:jc w:val="both"/>
              <w:rPr>
                <w:rFonts w:ascii="Arial" w:hAnsi="Arial" w:cs="Arial"/>
                <w:sz w:val="22"/>
                <w:szCs w:val="22"/>
              </w:rPr>
            </w:pPr>
            <w:r w:rsidRPr="0047256F">
              <w:rPr>
                <w:rFonts w:ascii="Arial" w:hAnsi="Arial" w:cs="Arial"/>
                <w:sz w:val="22"/>
                <w:szCs w:val="22"/>
              </w:rPr>
              <w:t xml:space="preserve">Conclusions: </w:t>
            </w:r>
            <w:r w:rsidR="00F7286E">
              <w:rPr>
                <w:rFonts w:ascii="Arial" w:hAnsi="Arial" w:cs="Arial"/>
                <w:sz w:val="22"/>
                <w:szCs w:val="22"/>
              </w:rPr>
              <w:t xml:space="preserve">Children are constantly exposed to health damaging environments and excessive marketing from alcohol and SSB industries. Urgent action is needed to alter environments through strict policy and regulations preventing </w:t>
            </w:r>
            <w:r w:rsidR="00DF27DC">
              <w:rPr>
                <w:rFonts w:ascii="Arial" w:hAnsi="Arial" w:cs="Arial"/>
                <w:sz w:val="22"/>
                <w:szCs w:val="22"/>
              </w:rPr>
              <w:t xml:space="preserve">children’s exposure to SSB and alcohol promoting environments. </w:t>
            </w:r>
          </w:p>
          <w:p w14:paraId="073BF0DF" w14:textId="77777777" w:rsidR="00F407AD" w:rsidRPr="003243CD" w:rsidRDefault="00F407AD" w:rsidP="00BE682F">
            <w:pPr>
              <w:jc w:val="both"/>
              <w:rPr>
                <w:rFonts w:ascii="Arial" w:hAnsi="Arial" w:cs="Arial"/>
                <w:sz w:val="22"/>
                <w:szCs w:val="22"/>
              </w:rPr>
            </w:pPr>
          </w:p>
          <w:p w14:paraId="219453BC" w14:textId="77777777" w:rsidR="00F407AD" w:rsidRPr="003243CD" w:rsidRDefault="00F407AD" w:rsidP="00BE682F">
            <w:pPr>
              <w:jc w:val="both"/>
              <w:rPr>
                <w:rFonts w:ascii="Arial" w:hAnsi="Arial" w:cs="Arial"/>
                <w:b/>
                <w:sz w:val="22"/>
                <w:szCs w:val="22"/>
              </w:rPr>
            </w:pPr>
            <w:r w:rsidRPr="003243CD">
              <w:rPr>
                <w:rFonts w:ascii="Arial" w:hAnsi="Arial" w:cs="Arial"/>
                <w:b/>
                <w:sz w:val="22"/>
                <w:szCs w:val="22"/>
              </w:rPr>
              <w:t>Proposed format of the session</w:t>
            </w:r>
          </w:p>
          <w:p w14:paraId="525D1A07" w14:textId="77777777" w:rsidR="00F407AD" w:rsidRPr="003243CD" w:rsidRDefault="00F407AD" w:rsidP="00BE682F">
            <w:pPr>
              <w:jc w:val="both"/>
              <w:rPr>
                <w:rFonts w:ascii="Arial" w:hAnsi="Arial" w:cs="Arial"/>
                <w:b/>
                <w:sz w:val="22"/>
                <w:szCs w:val="22"/>
              </w:rPr>
            </w:pPr>
          </w:p>
          <w:p w14:paraId="58BC6A5D" w14:textId="120BE251" w:rsidR="00F407AD" w:rsidRPr="00AC07C9" w:rsidRDefault="00AC07C9" w:rsidP="00BE682F">
            <w:pPr>
              <w:jc w:val="both"/>
              <w:rPr>
                <w:rFonts w:ascii="Arial" w:hAnsi="Arial" w:cs="Arial"/>
                <w:sz w:val="22"/>
                <w:szCs w:val="22"/>
              </w:rPr>
            </w:pPr>
            <w:r w:rsidRPr="00AC07C9">
              <w:rPr>
                <w:rFonts w:ascii="Arial" w:hAnsi="Arial" w:cs="Arial"/>
                <w:sz w:val="22"/>
                <w:szCs w:val="22"/>
              </w:rPr>
              <w:t>Oral presentation</w:t>
            </w:r>
          </w:p>
          <w:p w14:paraId="4F495A3C" w14:textId="77777777" w:rsidR="00F407AD" w:rsidRPr="003243CD" w:rsidRDefault="00F407AD" w:rsidP="00BE682F">
            <w:pPr>
              <w:jc w:val="both"/>
              <w:rPr>
                <w:rFonts w:ascii="Arial" w:hAnsi="Arial" w:cs="Arial"/>
                <w:b/>
                <w:sz w:val="22"/>
                <w:szCs w:val="22"/>
              </w:rPr>
            </w:pPr>
          </w:p>
          <w:p w14:paraId="4C179194" w14:textId="77777777" w:rsidR="00F407AD" w:rsidRPr="003243CD" w:rsidRDefault="00F407AD" w:rsidP="00BE682F">
            <w:pPr>
              <w:jc w:val="both"/>
              <w:rPr>
                <w:rFonts w:ascii="Arial" w:hAnsi="Arial" w:cs="Arial"/>
                <w:b/>
                <w:sz w:val="22"/>
                <w:szCs w:val="22"/>
              </w:rPr>
            </w:pPr>
            <w:r w:rsidRPr="003243CD">
              <w:rPr>
                <w:rFonts w:ascii="Arial" w:hAnsi="Arial" w:cs="Arial"/>
                <w:b/>
                <w:sz w:val="22"/>
                <w:szCs w:val="22"/>
              </w:rPr>
              <w:t>Conference theme and/or subthemes addressed</w:t>
            </w:r>
          </w:p>
          <w:p w14:paraId="3F38B62E" w14:textId="77777777" w:rsidR="00F407AD" w:rsidRPr="003243CD" w:rsidRDefault="00F407AD" w:rsidP="00BE682F">
            <w:pPr>
              <w:jc w:val="both"/>
              <w:rPr>
                <w:rFonts w:ascii="Arial" w:hAnsi="Arial" w:cs="Arial"/>
                <w:b/>
                <w:sz w:val="22"/>
                <w:szCs w:val="22"/>
              </w:rPr>
            </w:pPr>
          </w:p>
          <w:p w14:paraId="44656F09" w14:textId="06D1277E" w:rsidR="00F407AD" w:rsidRPr="00CA726F" w:rsidRDefault="00AC07C9" w:rsidP="00CA726F">
            <w:pPr>
              <w:pStyle w:val="ListParagraph"/>
              <w:numPr>
                <w:ilvl w:val="0"/>
                <w:numId w:val="3"/>
              </w:numPr>
              <w:jc w:val="both"/>
              <w:rPr>
                <w:rFonts w:ascii="Arial" w:hAnsi="Arial" w:cs="Arial"/>
                <w:sz w:val="22"/>
                <w:szCs w:val="22"/>
              </w:rPr>
            </w:pPr>
            <w:r w:rsidRPr="00CA726F">
              <w:rPr>
                <w:rFonts w:ascii="Arial" w:hAnsi="Arial" w:cs="Arial"/>
                <w:sz w:val="22"/>
                <w:szCs w:val="22"/>
              </w:rPr>
              <w:t>Ensure health equity throughout the life course, within and among countries, making each member of the global society an empowered lifelong learner.</w:t>
            </w:r>
          </w:p>
          <w:p w14:paraId="20E4AF9E" w14:textId="003205A3" w:rsidR="00DF27DC" w:rsidRPr="00CA726F" w:rsidRDefault="00DF27DC" w:rsidP="00CA726F">
            <w:pPr>
              <w:pStyle w:val="ListParagraph"/>
              <w:numPr>
                <w:ilvl w:val="0"/>
                <w:numId w:val="3"/>
              </w:numPr>
              <w:jc w:val="both"/>
              <w:rPr>
                <w:rFonts w:ascii="Arial" w:hAnsi="Arial" w:cs="Arial"/>
                <w:b/>
                <w:sz w:val="22"/>
                <w:szCs w:val="22"/>
              </w:rPr>
            </w:pPr>
            <w:r w:rsidRPr="00CA726F">
              <w:rPr>
                <w:rFonts w:ascii="Arial" w:hAnsi="Arial" w:cs="Arial"/>
                <w:sz w:val="22"/>
                <w:szCs w:val="22"/>
              </w:rPr>
              <w:t>Make all urban and other habitats inclusive, safe, resilient and sustainable and conducive to health and wellbeing</w:t>
            </w:r>
          </w:p>
          <w:p w14:paraId="026188BC" w14:textId="77777777" w:rsidR="00F407AD" w:rsidRPr="003243CD" w:rsidRDefault="00F407AD" w:rsidP="00BE682F">
            <w:pPr>
              <w:jc w:val="both"/>
              <w:rPr>
                <w:rFonts w:ascii="Arial" w:hAnsi="Arial" w:cs="Arial"/>
                <w:bCs/>
                <w:sz w:val="22"/>
                <w:szCs w:val="22"/>
              </w:rPr>
            </w:pPr>
          </w:p>
        </w:tc>
      </w:tr>
    </w:tbl>
    <w:p w14:paraId="2C16D79B" w14:textId="48136EAA" w:rsidR="00F407AD" w:rsidRPr="003243CD" w:rsidRDefault="00F407AD" w:rsidP="004C45A1">
      <w:pPr>
        <w:rPr>
          <w:rFonts w:ascii="Arial" w:hAnsi="Arial" w:cs="Arial"/>
          <w:sz w:val="22"/>
          <w:szCs w:val="22"/>
        </w:rPr>
      </w:pPr>
    </w:p>
    <w:p w14:paraId="2C8937FD" w14:textId="77777777" w:rsidR="00F407AD" w:rsidRPr="003243CD" w:rsidRDefault="00F407AD">
      <w:pPr>
        <w:rPr>
          <w:rFonts w:ascii="Arial" w:hAnsi="Arial" w:cs="Arial"/>
          <w:sz w:val="22"/>
          <w:szCs w:val="22"/>
        </w:rPr>
      </w:pPr>
      <w:r w:rsidRPr="003243CD">
        <w:rPr>
          <w:rFonts w:ascii="Arial" w:hAnsi="Arial" w:cs="Arial"/>
          <w:sz w:val="22"/>
          <w:szCs w:val="22"/>
        </w:rPr>
        <w:br w:type="page"/>
      </w:r>
    </w:p>
    <w:tbl>
      <w:tblPr>
        <w:tblStyle w:val="TableGrid"/>
        <w:tblW w:w="8640" w:type="dxa"/>
        <w:tblInd w:w="108" w:type="dxa"/>
        <w:tblLayout w:type="fixed"/>
        <w:tblLook w:val="01E0" w:firstRow="1" w:lastRow="1" w:firstColumn="1" w:lastColumn="1" w:noHBand="0" w:noVBand="0"/>
      </w:tblPr>
      <w:tblGrid>
        <w:gridCol w:w="8640"/>
      </w:tblGrid>
      <w:tr w:rsidR="00F407AD" w:rsidRPr="003243CD" w14:paraId="1320486C" w14:textId="77777777" w:rsidTr="00BE682F">
        <w:tc>
          <w:tcPr>
            <w:tcW w:w="8640" w:type="dxa"/>
          </w:tcPr>
          <w:p w14:paraId="0006776D" w14:textId="677AC269" w:rsidR="00F407AD" w:rsidRPr="003243CD" w:rsidRDefault="00AC07C9" w:rsidP="00BE682F">
            <w:pPr>
              <w:jc w:val="both"/>
              <w:rPr>
                <w:rFonts w:ascii="Arial" w:hAnsi="Arial" w:cs="Arial"/>
                <w:sz w:val="22"/>
                <w:szCs w:val="22"/>
              </w:rPr>
            </w:pPr>
            <w:r w:rsidRPr="003243CD">
              <w:rPr>
                <w:rFonts w:ascii="Arial" w:hAnsi="Arial" w:cs="Arial"/>
                <w:b/>
                <w:sz w:val="22"/>
                <w:szCs w:val="22"/>
              </w:rPr>
              <w:lastRenderedPageBreak/>
              <w:t>Quantifying role of contexts in different types of tobacco use in India: Benefits of multilevel modelling</w:t>
            </w:r>
          </w:p>
        </w:tc>
      </w:tr>
      <w:tr w:rsidR="00F407AD" w:rsidRPr="003243CD" w14:paraId="2443E8A7" w14:textId="77777777" w:rsidTr="00BE682F">
        <w:trPr>
          <w:trHeight w:val="7663"/>
        </w:trPr>
        <w:tc>
          <w:tcPr>
            <w:tcW w:w="8640" w:type="dxa"/>
          </w:tcPr>
          <w:p w14:paraId="4E3401A7" w14:textId="77777777" w:rsidR="00893ADC" w:rsidRDefault="00893ADC" w:rsidP="00BE682F">
            <w:pPr>
              <w:jc w:val="both"/>
              <w:rPr>
                <w:rFonts w:ascii="Arial" w:hAnsi="Arial" w:cs="Arial"/>
                <w:b/>
                <w:sz w:val="22"/>
                <w:szCs w:val="22"/>
              </w:rPr>
            </w:pPr>
          </w:p>
          <w:p w14:paraId="518D121B" w14:textId="218D8BAC" w:rsidR="00F407AD" w:rsidRPr="003243CD" w:rsidRDefault="00F407AD" w:rsidP="00BE682F">
            <w:pPr>
              <w:jc w:val="both"/>
              <w:rPr>
                <w:rFonts w:ascii="Arial" w:hAnsi="Arial" w:cs="Arial"/>
                <w:b/>
                <w:sz w:val="22"/>
                <w:szCs w:val="22"/>
              </w:rPr>
            </w:pPr>
            <w:r w:rsidRPr="003243CD">
              <w:rPr>
                <w:rFonts w:ascii="Arial" w:hAnsi="Arial" w:cs="Arial"/>
                <w:b/>
                <w:sz w:val="22"/>
                <w:szCs w:val="22"/>
              </w:rPr>
              <w:t>General Objective</w:t>
            </w:r>
          </w:p>
          <w:p w14:paraId="0BC51A1E" w14:textId="77777777" w:rsidR="00AC07C9" w:rsidRDefault="00AC07C9" w:rsidP="00AC07C9">
            <w:pPr>
              <w:jc w:val="both"/>
              <w:rPr>
                <w:rFonts w:ascii="Arial" w:hAnsi="Arial" w:cs="Arial"/>
                <w:sz w:val="22"/>
                <w:szCs w:val="22"/>
              </w:rPr>
            </w:pPr>
          </w:p>
          <w:p w14:paraId="23879F48" w14:textId="7FF3F483" w:rsidR="00AC07C9" w:rsidRDefault="00AC07C9" w:rsidP="00AC07C9">
            <w:pPr>
              <w:rPr>
                <w:rFonts w:ascii="Arial" w:hAnsi="Arial" w:cs="Arial"/>
                <w:sz w:val="22"/>
                <w:szCs w:val="22"/>
                <w:lang w:val="en-US" w:eastAsia="en-AU"/>
              </w:rPr>
            </w:pPr>
            <w:r>
              <w:rPr>
                <w:rFonts w:ascii="Arial" w:hAnsi="Arial" w:cs="Arial"/>
                <w:b/>
                <w:sz w:val="22"/>
                <w:szCs w:val="22"/>
              </w:rPr>
              <w:t>Introduction:</w:t>
            </w:r>
            <w:r>
              <w:rPr>
                <w:rFonts w:ascii="Arial" w:hAnsi="Arial" w:cs="Arial"/>
                <w:sz w:val="22"/>
                <w:szCs w:val="22"/>
              </w:rPr>
              <w:t xml:space="preserve"> Tobacco kills about a million Indians every year and </w:t>
            </w:r>
            <w:r w:rsidR="00A468C4">
              <w:rPr>
                <w:rFonts w:ascii="Arial" w:hAnsi="Arial" w:cs="Arial"/>
                <w:sz w:val="22"/>
                <w:szCs w:val="22"/>
              </w:rPr>
              <w:t xml:space="preserve">is </w:t>
            </w:r>
            <w:r>
              <w:rPr>
                <w:rFonts w:ascii="Arial" w:hAnsi="Arial" w:cs="Arial"/>
                <w:sz w:val="22"/>
                <w:szCs w:val="22"/>
              </w:rPr>
              <w:t xml:space="preserve">a key behavioural determinant for oral cancer and periodontal disease. Due to the widespread use of smokeless tobacco, different patterns of tobacco use appear in Indian context. Individual-level behavioural risk factors are largely shaped by socio-environmental factors unique to contexts. This study aimed to quantify the share of individual variation of different types of tobacco use that exists at village and city ward level. </w:t>
            </w:r>
          </w:p>
          <w:p w14:paraId="24F65158" w14:textId="77777777" w:rsidR="00AC07C9" w:rsidRDefault="00AC07C9" w:rsidP="00AC07C9">
            <w:pPr>
              <w:rPr>
                <w:rFonts w:ascii="Arial" w:hAnsi="Arial" w:cs="Arial"/>
                <w:sz w:val="22"/>
                <w:szCs w:val="22"/>
              </w:rPr>
            </w:pPr>
          </w:p>
          <w:p w14:paraId="189B5BB0" w14:textId="77777777" w:rsidR="00AC07C9" w:rsidRDefault="00AC07C9" w:rsidP="00AC07C9">
            <w:pPr>
              <w:rPr>
                <w:rFonts w:ascii="Arial" w:hAnsi="Arial" w:cs="Arial"/>
                <w:sz w:val="22"/>
                <w:szCs w:val="22"/>
              </w:rPr>
            </w:pPr>
            <w:r>
              <w:rPr>
                <w:rFonts w:ascii="Arial" w:hAnsi="Arial" w:cs="Arial"/>
                <w:b/>
                <w:sz w:val="22"/>
                <w:szCs w:val="22"/>
              </w:rPr>
              <w:t>Methods:</w:t>
            </w:r>
            <w:r>
              <w:rPr>
                <w:rFonts w:ascii="Arial" w:hAnsi="Arial" w:cs="Arial"/>
                <w:sz w:val="22"/>
                <w:szCs w:val="22"/>
              </w:rPr>
              <w:t xml:space="preserve"> Data on 69,030 adults from the Global Adult Tobacco Survey 2009-2010 was </w:t>
            </w:r>
            <w:proofErr w:type="spellStart"/>
            <w:r>
              <w:rPr>
                <w:rFonts w:ascii="Arial" w:hAnsi="Arial" w:cs="Arial"/>
                <w:sz w:val="22"/>
                <w:szCs w:val="22"/>
              </w:rPr>
              <w:t>analyzed</w:t>
            </w:r>
            <w:proofErr w:type="spellEnd"/>
            <w:r>
              <w:rPr>
                <w:rFonts w:ascii="Arial" w:hAnsi="Arial" w:cs="Arial"/>
                <w:sz w:val="22"/>
                <w:szCs w:val="22"/>
              </w:rPr>
              <w:t xml:space="preserve">. Multilevel multivariable logistic regression models were fitted to quantify the share of variance for different types of tobacco use (cigarette smoking, bidi smoking, smokeless tobacco use and dual use (smoking and smokeless tobacco use). Unadjusted and adjusted measures of median odds ratio (MOR) and intra-class coefficients (ICC) were estimated from models to estimate the share of variance at the village and city ward level. Individual-level covariates included in the models were age, sex, individual wealth, educational attainment, and employment status. Area of residence (urban/rural) and region were also included as covariates in the models. </w:t>
            </w:r>
          </w:p>
          <w:p w14:paraId="1B1923B1" w14:textId="77777777" w:rsidR="00AC07C9" w:rsidRDefault="00AC07C9" w:rsidP="00AC07C9">
            <w:pPr>
              <w:rPr>
                <w:rFonts w:ascii="Arial" w:hAnsi="Arial" w:cs="Arial"/>
                <w:sz w:val="22"/>
                <w:szCs w:val="22"/>
              </w:rPr>
            </w:pPr>
          </w:p>
          <w:p w14:paraId="2E7AEBFC" w14:textId="77777777" w:rsidR="00AC07C9" w:rsidRDefault="00AC07C9" w:rsidP="00AC07C9">
            <w:pPr>
              <w:rPr>
                <w:rFonts w:ascii="Arial" w:hAnsi="Arial" w:cs="Arial"/>
                <w:sz w:val="22"/>
                <w:szCs w:val="22"/>
              </w:rPr>
            </w:pPr>
            <w:r>
              <w:rPr>
                <w:rFonts w:ascii="Arial" w:hAnsi="Arial" w:cs="Arial"/>
                <w:b/>
                <w:sz w:val="22"/>
                <w:szCs w:val="22"/>
              </w:rPr>
              <w:t>Results:</w:t>
            </w:r>
            <w:r>
              <w:rPr>
                <w:rFonts w:ascii="Arial" w:hAnsi="Arial" w:cs="Arial"/>
                <w:sz w:val="22"/>
                <w:szCs w:val="22"/>
              </w:rPr>
              <w:t xml:space="preserve"> After adjusting for all individual covariates, the MOR for any tobacco use at city ward/village level was 2.01 (95% CI: 1.95, 2.08). For different patterns of tobacco use, MOR ranged from 2.23 (95% CI: 2.15, 2.32) for SLT use to 2.84 (95% CI: 2.64, 3.03) for bidi smoking. The ICC at the same geographic level for any tobacco use was 14.1%. For different patterns of tobacco use, the ICC ranged from 17.8% for smokeless tobacco use to 26.6% for bidi use. </w:t>
            </w:r>
          </w:p>
          <w:p w14:paraId="3CBBDC3E" w14:textId="77777777" w:rsidR="00AC07C9" w:rsidRDefault="00AC07C9" w:rsidP="00AC07C9">
            <w:pPr>
              <w:rPr>
                <w:rFonts w:ascii="Arial" w:hAnsi="Arial" w:cs="Arial"/>
                <w:sz w:val="22"/>
                <w:szCs w:val="22"/>
              </w:rPr>
            </w:pPr>
          </w:p>
          <w:p w14:paraId="0DFD0B1F" w14:textId="77777777" w:rsidR="00AC07C9" w:rsidRDefault="00AC07C9" w:rsidP="00AC07C9">
            <w:pPr>
              <w:rPr>
                <w:rFonts w:ascii="Arial" w:hAnsi="Arial" w:cs="Arial"/>
                <w:sz w:val="22"/>
                <w:szCs w:val="22"/>
                <w:lang w:val="en-AU"/>
              </w:rPr>
            </w:pPr>
            <w:r>
              <w:rPr>
                <w:rFonts w:ascii="Arial" w:hAnsi="Arial" w:cs="Arial"/>
                <w:b/>
                <w:sz w:val="22"/>
                <w:szCs w:val="22"/>
              </w:rPr>
              <w:t>Conclusion:</w:t>
            </w:r>
            <w:r>
              <w:rPr>
                <w:rFonts w:ascii="Arial" w:hAnsi="Arial" w:cs="Arial"/>
                <w:sz w:val="22"/>
                <w:szCs w:val="22"/>
              </w:rPr>
              <w:t xml:space="preserve"> </w:t>
            </w:r>
            <w:r>
              <w:rPr>
                <w:rFonts w:ascii="Arial" w:hAnsi="Arial" w:cs="Arial"/>
                <w:sz w:val="22"/>
                <w:szCs w:val="22"/>
                <w:lang w:val="en-AU"/>
              </w:rPr>
              <w:t>There is a considerable share of inter-individual variation in tobacco use at the city ward and village level in India after accounting for compositional characteristics at the individual level. Local areas can serve as an important point of intervention for tobacco control policies.</w:t>
            </w:r>
          </w:p>
          <w:p w14:paraId="20D095A7" w14:textId="77777777" w:rsidR="00F407AD" w:rsidRPr="003243CD" w:rsidRDefault="00F407AD" w:rsidP="00BE682F">
            <w:pPr>
              <w:jc w:val="both"/>
              <w:rPr>
                <w:rFonts w:ascii="Arial" w:hAnsi="Arial" w:cs="Arial"/>
                <w:sz w:val="22"/>
                <w:szCs w:val="22"/>
              </w:rPr>
            </w:pPr>
          </w:p>
          <w:p w14:paraId="7D09E601" w14:textId="77777777" w:rsidR="00F407AD" w:rsidRPr="003243CD" w:rsidRDefault="00F407AD" w:rsidP="00BE682F">
            <w:pPr>
              <w:jc w:val="both"/>
              <w:rPr>
                <w:rFonts w:ascii="Arial" w:hAnsi="Arial" w:cs="Arial"/>
                <w:b/>
                <w:sz w:val="22"/>
                <w:szCs w:val="22"/>
              </w:rPr>
            </w:pPr>
            <w:r w:rsidRPr="003243CD">
              <w:rPr>
                <w:rFonts w:ascii="Arial" w:hAnsi="Arial" w:cs="Arial"/>
                <w:b/>
                <w:sz w:val="22"/>
                <w:szCs w:val="22"/>
              </w:rPr>
              <w:t>Proposed format of the session</w:t>
            </w:r>
          </w:p>
          <w:p w14:paraId="7FC9B95C" w14:textId="2AFAA0B0" w:rsidR="00F407AD" w:rsidRPr="00AC07C9" w:rsidRDefault="00AC07C9" w:rsidP="00BE682F">
            <w:pPr>
              <w:jc w:val="both"/>
              <w:rPr>
                <w:rFonts w:ascii="Arial" w:hAnsi="Arial" w:cs="Arial"/>
                <w:sz w:val="22"/>
                <w:szCs w:val="22"/>
              </w:rPr>
            </w:pPr>
            <w:r w:rsidRPr="00AC07C9">
              <w:rPr>
                <w:rFonts w:ascii="Arial" w:hAnsi="Arial" w:cs="Arial"/>
                <w:sz w:val="22"/>
                <w:szCs w:val="22"/>
              </w:rPr>
              <w:t>Oral Presentation</w:t>
            </w:r>
          </w:p>
          <w:p w14:paraId="78D8E824" w14:textId="77777777" w:rsidR="00F407AD" w:rsidRPr="003243CD" w:rsidRDefault="00F407AD" w:rsidP="00BE682F">
            <w:pPr>
              <w:jc w:val="both"/>
              <w:rPr>
                <w:rFonts w:ascii="Arial" w:hAnsi="Arial" w:cs="Arial"/>
                <w:b/>
                <w:sz w:val="22"/>
                <w:szCs w:val="22"/>
              </w:rPr>
            </w:pPr>
          </w:p>
          <w:p w14:paraId="344EB8AC" w14:textId="77777777" w:rsidR="00F407AD" w:rsidRPr="003243CD" w:rsidRDefault="00F407AD" w:rsidP="00BE682F">
            <w:pPr>
              <w:jc w:val="both"/>
              <w:rPr>
                <w:rFonts w:ascii="Arial" w:hAnsi="Arial" w:cs="Arial"/>
                <w:b/>
                <w:sz w:val="22"/>
                <w:szCs w:val="22"/>
              </w:rPr>
            </w:pPr>
          </w:p>
          <w:p w14:paraId="4B0F613F" w14:textId="77777777" w:rsidR="00F407AD" w:rsidRPr="003243CD" w:rsidRDefault="00F407AD" w:rsidP="00BE682F">
            <w:pPr>
              <w:jc w:val="both"/>
              <w:rPr>
                <w:rFonts w:ascii="Arial" w:hAnsi="Arial" w:cs="Arial"/>
                <w:b/>
                <w:sz w:val="22"/>
                <w:szCs w:val="22"/>
              </w:rPr>
            </w:pPr>
            <w:r w:rsidRPr="003243CD">
              <w:rPr>
                <w:rFonts w:ascii="Arial" w:hAnsi="Arial" w:cs="Arial"/>
                <w:b/>
                <w:sz w:val="22"/>
                <w:szCs w:val="22"/>
              </w:rPr>
              <w:t>Conference theme and/or subthemes addressed</w:t>
            </w:r>
          </w:p>
          <w:p w14:paraId="30B1E95E" w14:textId="35CCA19B" w:rsidR="00AC07C9" w:rsidRPr="00DA61C2" w:rsidRDefault="00AC07C9" w:rsidP="00DA61C2">
            <w:pPr>
              <w:pStyle w:val="ListParagraph"/>
              <w:numPr>
                <w:ilvl w:val="0"/>
                <w:numId w:val="2"/>
              </w:numPr>
              <w:jc w:val="both"/>
              <w:rPr>
                <w:rFonts w:ascii="Arial" w:hAnsi="Arial" w:cs="Arial"/>
                <w:sz w:val="22"/>
                <w:szCs w:val="22"/>
              </w:rPr>
            </w:pPr>
            <w:r w:rsidRPr="00DA61C2">
              <w:rPr>
                <w:rFonts w:ascii="Arial" w:hAnsi="Arial" w:cs="Arial"/>
                <w:sz w:val="22"/>
                <w:szCs w:val="22"/>
              </w:rPr>
              <w:t>Ensure health equity throughout the life course, within and among countries, making each member of the global society an empowered lifelong learner.</w:t>
            </w:r>
          </w:p>
          <w:p w14:paraId="776CCEBC" w14:textId="7A3D8368" w:rsidR="00F407AD" w:rsidRPr="00DA61C2" w:rsidRDefault="00DA61C2" w:rsidP="00DA61C2">
            <w:pPr>
              <w:pStyle w:val="ListParagraph"/>
              <w:numPr>
                <w:ilvl w:val="0"/>
                <w:numId w:val="2"/>
              </w:numPr>
              <w:rPr>
                <w:rFonts w:ascii="Arial" w:hAnsi="Arial" w:cs="Arial"/>
                <w:b/>
                <w:sz w:val="22"/>
                <w:szCs w:val="22"/>
              </w:rPr>
            </w:pPr>
            <w:r w:rsidRPr="00DA61C2">
              <w:rPr>
                <w:rFonts w:ascii="Arial" w:hAnsi="Arial" w:cs="Arial"/>
                <w:sz w:val="22"/>
                <w:szCs w:val="22"/>
              </w:rPr>
              <w:t>Make all urban and other habitats inclusive, safe, resilient and sustainable and conducive to health and wellbeing</w:t>
            </w:r>
          </w:p>
        </w:tc>
      </w:tr>
    </w:tbl>
    <w:p w14:paraId="2D94FF50" w14:textId="77777777" w:rsidR="004C45A1" w:rsidRPr="003243CD" w:rsidRDefault="004C45A1" w:rsidP="004C45A1">
      <w:pPr>
        <w:rPr>
          <w:rFonts w:ascii="Arial" w:hAnsi="Arial" w:cs="Arial"/>
          <w:sz w:val="22"/>
          <w:szCs w:val="22"/>
        </w:rPr>
      </w:pPr>
    </w:p>
    <w:sectPr w:rsidR="004C45A1" w:rsidRPr="003243CD">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231C1"/>
    <w:multiLevelType w:val="multilevel"/>
    <w:tmpl w:val="D08C3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104B4"/>
    <w:multiLevelType w:val="hybridMultilevel"/>
    <w:tmpl w:val="65EC8084"/>
    <w:lvl w:ilvl="0" w:tplc="F6166258">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A0E4968"/>
    <w:multiLevelType w:val="hybridMultilevel"/>
    <w:tmpl w:val="D9E6E6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UyMje2MDM0MTQzMDZU0lEKTi0uzszPAykwqgUAJvCRVSwAAAA="/>
  </w:docVars>
  <w:rsids>
    <w:rsidRoot w:val="00663BFF"/>
    <w:rsid w:val="00026E39"/>
    <w:rsid w:val="0003525D"/>
    <w:rsid w:val="00077988"/>
    <w:rsid w:val="0008349E"/>
    <w:rsid w:val="000C05CE"/>
    <w:rsid w:val="00131D1E"/>
    <w:rsid w:val="001C3A37"/>
    <w:rsid w:val="00211765"/>
    <w:rsid w:val="00230B21"/>
    <w:rsid w:val="00242808"/>
    <w:rsid w:val="00294265"/>
    <w:rsid w:val="002B7FC8"/>
    <w:rsid w:val="002F34DB"/>
    <w:rsid w:val="00317FFE"/>
    <w:rsid w:val="003243CD"/>
    <w:rsid w:val="00363AF7"/>
    <w:rsid w:val="003A6236"/>
    <w:rsid w:val="003B15A7"/>
    <w:rsid w:val="003B77DB"/>
    <w:rsid w:val="003F596D"/>
    <w:rsid w:val="0047256F"/>
    <w:rsid w:val="00490208"/>
    <w:rsid w:val="004B5B95"/>
    <w:rsid w:val="004C45A1"/>
    <w:rsid w:val="004C49AA"/>
    <w:rsid w:val="004E345D"/>
    <w:rsid w:val="00564331"/>
    <w:rsid w:val="00590824"/>
    <w:rsid w:val="00591DD5"/>
    <w:rsid w:val="005F7DC7"/>
    <w:rsid w:val="006605DB"/>
    <w:rsid w:val="00663BFF"/>
    <w:rsid w:val="00666996"/>
    <w:rsid w:val="006C6E32"/>
    <w:rsid w:val="0070252B"/>
    <w:rsid w:val="00714C46"/>
    <w:rsid w:val="007A2A9C"/>
    <w:rsid w:val="0082392D"/>
    <w:rsid w:val="00845684"/>
    <w:rsid w:val="008803AB"/>
    <w:rsid w:val="00880BBC"/>
    <w:rsid w:val="008874BF"/>
    <w:rsid w:val="00893ADC"/>
    <w:rsid w:val="008B399E"/>
    <w:rsid w:val="008C05AC"/>
    <w:rsid w:val="008D026E"/>
    <w:rsid w:val="008E0FA6"/>
    <w:rsid w:val="00932377"/>
    <w:rsid w:val="009475FE"/>
    <w:rsid w:val="0096227B"/>
    <w:rsid w:val="009B7881"/>
    <w:rsid w:val="00A112C8"/>
    <w:rsid w:val="00A1780F"/>
    <w:rsid w:val="00A468C4"/>
    <w:rsid w:val="00A52941"/>
    <w:rsid w:val="00AA1598"/>
    <w:rsid w:val="00AA5B46"/>
    <w:rsid w:val="00AB42C9"/>
    <w:rsid w:val="00AC07C9"/>
    <w:rsid w:val="00AD6E27"/>
    <w:rsid w:val="00AF5BF8"/>
    <w:rsid w:val="00B12CD1"/>
    <w:rsid w:val="00B20967"/>
    <w:rsid w:val="00B766BF"/>
    <w:rsid w:val="00BC5CBE"/>
    <w:rsid w:val="00BE2424"/>
    <w:rsid w:val="00C211D2"/>
    <w:rsid w:val="00C84789"/>
    <w:rsid w:val="00CA0DE6"/>
    <w:rsid w:val="00CA726F"/>
    <w:rsid w:val="00CB2597"/>
    <w:rsid w:val="00CC5CF2"/>
    <w:rsid w:val="00CD0335"/>
    <w:rsid w:val="00CE496D"/>
    <w:rsid w:val="00CE5D57"/>
    <w:rsid w:val="00CF70D5"/>
    <w:rsid w:val="00D57A4D"/>
    <w:rsid w:val="00D71EFE"/>
    <w:rsid w:val="00DA45EE"/>
    <w:rsid w:val="00DA61C2"/>
    <w:rsid w:val="00DA7A71"/>
    <w:rsid w:val="00DC2C64"/>
    <w:rsid w:val="00DE6D44"/>
    <w:rsid w:val="00DF27DC"/>
    <w:rsid w:val="00DF7BA2"/>
    <w:rsid w:val="00E0479B"/>
    <w:rsid w:val="00E36AD7"/>
    <w:rsid w:val="00E379B4"/>
    <w:rsid w:val="00E458B1"/>
    <w:rsid w:val="00E93854"/>
    <w:rsid w:val="00F04A3B"/>
    <w:rsid w:val="00F16B61"/>
    <w:rsid w:val="00F407AD"/>
    <w:rsid w:val="00F7286E"/>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52941"/>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paragraph" w:styleId="ListParagraph">
    <w:name w:val="List Paragraph"/>
    <w:basedOn w:val="Normal"/>
    <w:uiPriority w:val="34"/>
    <w:qFormat/>
    <w:rsid w:val="00A529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448865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745417068">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165439848">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1395542288">
      <w:bodyDiv w:val="1"/>
      <w:marLeft w:val="0"/>
      <w:marRight w:val="0"/>
      <w:marTop w:val="0"/>
      <w:marBottom w:val="0"/>
      <w:divBdr>
        <w:top w:val="none" w:sz="0" w:space="0" w:color="auto"/>
        <w:left w:val="none" w:sz="0" w:space="0" w:color="auto"/>
        <w:bottom w:val="none" w:sz="0" w:space="0" w:color="auto"/>
        <w:right w:val="none" w:sz="0" w:space="0" w:color="auto"/>
      </w:divBdr>
    </w:div>
    <w:div w:id="1481000981">
      <w:bodyDiv w:val="1"/>
      <w:marLeft w:val="0"/>
      <w:marRight w:val="0"/>
      <w:marTop w:val="0"/>
      <w:marBottom w:val="0"/>
      <w:divBdr>
        <w:top w:val="none" w:sz="0" w:space="0" w:color="auto"/>
        <w:left w:val="none" w:sz="0" w:space="0" w:color="auto"/>
        <w:bottom w:val="none" w:sz="0" w:space="0" w:color="auto"/>
        <w:right w:val="none" w:sz="0" w:space="0" w:color="auto"/>
      </w:divBdr>
    </w:div>
    <w:div w:id="2002468029">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5698b635db848892298e7bbf4d8287d">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81b94e971b6b6ee05a488a6b0e151f68"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E48B2-0B51-42C1-8949-2CE672C0E1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E73DA3-73E0-43F4-9980-89255A6268B5}">
  <ds:schemaRefs>
    <ds:schemaRef ds:uri="6911e96c-4cc4-42d5-8e43-f93924cf6a05"/>
    <ds:schemaRef ds:uri="http://purl.org/dc/dcmitype/"/>
    <ds:schemaRef ds:uri="http://www.w3.org/XML/1998/namespace"/>
    <ds:schemaRef ds:uri="http://purl.org/dc/terms/"/>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4.xml><?xml version="1.0" encoding="utf-8"?>
<ds:datastoreItem xmlns:ds="http://schemas.openxmlformats.org/officeDocument/2006/customXml" ds:itemID="{950DFDC4-835F-48A1-B566-635FB0AFE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1275</Words>
  <Characters>7766</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2019-03-04T02:48:00Z</dcterms:created>
  <dcterms:modified xsi:type="dcterms:W3CDTF">2019-03-04T02:48:00Z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