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69DD6B3" w:rsidR="001564A4" w:rsidRPr="0050053A" w:rsidRDefault="009650A2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</w:t>
            </w:r>
            <w:r w:rsidR="006D2B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ncidence of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life-threatening</w:t>
            </w:r>
            <w:r w:rsidR="006D2B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pulmonary embolism </w:t>
            </w:r>
            <w:r w:rsidR="00060C9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before and after the pandemic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5B5A259" w:rsidR="001564A4" w:rsidRPr="00951467" w:rsidRDefault="00B3432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Sanjay Farshid</w:t>
            </w:r>
            <w:r w:rsidR="0088207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bookmarkEnd w:id="0"/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Ellen Court</w:t>
            </w:r>
            <w:r w:rsidR="00882078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B7D1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Paul Torzillo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8207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Edmund Lau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8207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Lauren Troy</w:t>
            </w:r>
            <w:r w:rsidR="0095146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4AAB963E" w:rsidR="001564A4" w:rsidRPr="00AB7D1F" w:rsidRDefault="00AB7D1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Prince Alfred Hospital, NSW, Australia</w:t>
            </w:r>
          </w:p>
          <w:p w14:paraId="45ED36BF" w14:textId="4E3CA0DB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514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 Medical School, </w:t>
            </w:r>
            <w:r w:rsidR="0059587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Faculty of Medicine and Health, </w:t>
            </w:r>
            <w:r w:rsidR="0095146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Sydney, NSW, Australia</w:t>
            </w:r>
          </w:p>
        </w:tc>
      </w:tr>
      <w:tr w:rsidR="001564A4" w:rsidRPr="0050053A" w14:paraId="6DAF615A" w14:textId="77777777" w:rsidTr="00DD76DD">
        <w:trPr>
          <w:trHeight w:hRule="exact" w:val="8850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4679CBCA" w:rsidR="001564A4" w:rsidRPr="0050053A" w:rsidRDefault="00504BCD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Pulmonary embolism (PE) is a </w:t>
            </w:r>
            <w:r w:rsidR="0096703C">
              <w:rPr>
                <w:sz w:val="22"/>
                <w:szCs w:val="22"/>
              </w:rPr>
              <w:t xml:space="preserve">life-threatening </w:t>
            </w:r>
            <w:r w:rsidR="0069790B">
              <w:rPr>
                <w:sz w:val="22"/>
                <w:szCs w:val="22"/>
              </w:rPr>
              <w:t>condition</w:t>
            </w:r>
            <w:r w:rsidR="00683FD6">
              <w:rPr>
                <w:sz w:val="22"/>
                <w:szCs w:val="22"/>
              </w:rPr>
              <w:t xml:space="preserve"> and</w:t>
            </w:r>
            <w:r w:rsidR="002E001B">
              <w:rPr>
                <w:sz w:val="22"/>
                <w:szCs w:val="22"/>
              </w:rPr>
              <w:t xml:space="preserve"> p</w:t>
            </w:r>
            <w:r w:rsidR="00E31C0D">
              <w:rPr>
                <w:sz w:val="22"/>
                <w:szCs w:val="22"/>
              </w:rPr>
              <w:t xml:space="preserve">atients with </w:t>
            </w:r>
            <w:r w:rsidR="0096703C">
              <w:rPr>
                <w:sz w:val="22"/>
                <w:szCs w:val="22"/>
              </w:rPr>
              <w:t xml:space="preserve">COVID-19 </w:t>
            </w:r>
            <w:r w:rsidR="00E31C0D">
              <w:rPr>
                <w:sz w:val="22"/>
                <w:szCs w:val="22"/>
              </w:rPr>
              <w:t xml:space="preserve">are at </w:t>
            </w:r>
            <w:r w:rsidR="002E001B">
              <w:rPr>
                <w:sz w:val="22"/>
                <w:szCs w:val="22"/>
              </w:rPr>
              <w:t xml:space="preserve">elevated </w:t>
            </w:r>
            <w:r w:rsidR="00E31C0D">
              <w:rPr>
                <w:sz w:val="22"/>
                <w:szCs w:val="22"/>
              </w:rPr>
              <w:t>risk of thromboembolic events</w:t>
            </w:r>
            <w:r w:rsidR="0096703C">
              <w:rPr>
                <w:sz w:val="22"/>
                <w:szCs w:val="22"/>
              </w:rPr>
              <w:t xml:space="preserve">. </w:t>
            </w:r>
            <w:r w:rsidR="008E499F">
              <w:rPr>
                <w:sz w:val="22"/>
                <w:szCs w:val="22"/>
              </w:rPr>
              <w:t xml:space="preserve">This study </w:t>
            </w:r>
            <w:r w:rsidR="0096703C">
              <w:rPr>
                <w:sz w:val="22"/>
                <w:szCs w:val="22"/>
              </w:rPr>
              <w:t xml:space="preserve">aimed </w:t>
            </w:r>
            <w:r w:rsidR="008E499F">
              <w:rPr>
                <w:sz w:val="22"/>
                <w:szCs w:val="22"/>
              </w:rPr>
              <w:t>to comp</w:t>
            </w:r>
            <w:r w:rsidR="006E5466">
              <w:rPr>
                <w:sz w:val="22"/>
                <w:szCs w:val="22"/>
              </w:rPr>
              <w:t xml:space="preserve">are the </w:t>
            </w:r>
            <w:r w:rsidR="002E001B">
              <w:rPr>
                <w:sz w:val="22"/>
                <w:szCs w:val="22"/>
              </w:rPr>
              <w:t xml:space="preserve">incidence </w:t>
            </w:r>
            <w:r w:rsidR="006E5466">
              <w:rPr>
                <w:sz w:val="22"/>
                <w:szCs w:val="22"/>
              </w:rPr>
              <w:t xml:space="preserve">and </w:t>
            </w:r>
            <w:r w:rsidR="004348C0">
              <w:rPr>
                <w:sz w:val="22"/>
                <w:szCs w:val="22"/>
              </w:rPr>
              <w:t>characteristics of</w:t>
            </w:r>
            <w:r w:rsidR="002E001B">
              <w:rPr>
                <w:sz w:val="22"/>
                <w:szCs w:val="22"/>
              </w:rPr>
              <w:t xml:space="preserve"> PE cases</w:t>
            </w:r>
            <w:r w:rsidR="004348C0">
              <w:rPr>
                <w:sz w:val="22"/>
                <w:szCs w:val="22"/>
              </w:rPr>
              <w:t xml:space="preserve"> requiring high-level support</w:t>
            </w:r>
            <w:r w:rsidR="002E001B">
              <w:rPr>
                <w:sz w:val="22"/>
                <w:szCs w:val="22"/>
              </w:rPr>
              <w:t xml:space="preserve"> in</w:t>
            </w:r>
            <w:r w:rsidR="006E5466">
              <w:rPr>
                <w:sz w:val="22"/>
                <w:szCs w:val="22"/>
              </w:rPr>
              <w:t xml:space="preserve"> </w:t>
            </w:r>
            <w:r w:rsidR="00E31C0D">
              <w:rPr>
                <w:sz w:val="22"/>
                <w:szCs w:val="22"/>
              </w:rPr>
              <w:t>an Australian tertiary hospital</w:t>
            </w:r>
            <w:r w:rsidR="00AF16AC">
              <w:rPr>
                <w:sz w:val="22"/>
                <w:szCs w:val="22"/>
              </w:rPr>
              <w:t xml:space="preserve"> </w:t>
            </w:r>
            <w:r w:rsidR="00E75DF0">
              <w:rPr>
                <w:sz w:val="22"/>
                <w:szCs w:val="22"/>
              </w:rPr>
              <w:t xml:space="preserve">before and after </w:t>
            </w:r>
            <w:r w:rsidR="00CC5B7B">
              <w:rPr>
                <w:sz w:val="22"/>
                <w:szCs w:val="22"/>
              </w:rPr>
              <w:t xml:space="preserve">emergence of the </w:t>
            </w:r>
            <w:r w:rsidR="00E75DF0">
              <w:rPr>
                <w:sz w:val="22"/>
                <w:szCs w:val="22"/>
              </w:rPr>
              <w:t>COVID-19 pandemic</w:t>
            </w:r>
            <w:r w:rsidR="00E31C0D">
              <w:rPr>
                <w:sz w:val="22"/>
                <w:szCs w:val="22"/>
              </w:rPr>
              <w:t>.</w:t>
            </w:r>
          </w:p>
          <w:p w14:paraId="2251F6D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7191962A" w:rsidR="001564A4" w:rsidRPr="0050053A" w:rsidRDefault="00741452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comprehensively reviewed medical records </w:t>
            </w:r>
            <w:r w:rsidR="009633CB">
              <w:rPr>
                <w:sz w:val="22"/>
                <w:szCs w:val="22"/>
              </w:rPr>
              <w:t xml:space="preserve">of </w:t>
            </w:r>
            <w:r w:rsidR="00595873">
              <w:rPr>
                <w:sz w:val="22"/>
                <w:szCs w:val="22"/>
              </w:rPr>
              <w:t xml:space="preserve">all </w:t>
            </w:r>
            <w:r w:rsidR="009633CB">
              <w:rPr>
                <w:sz w:val="22"/>
                <w:szCs w:val="22"/>
              </w:rPr>
              <w:t>patients admitted to</w:t>
            </w:r>
            <w:r w:rsidR="00595873">
              <w:rPr>
                <w:sz w:val="22"/>
                <w:szCs w:val="22"/>
              </w:rPr>
              <w:t xml:space="preserve"> intensive care or coronary care units</w:t>
            </w:r>
            <w:r w:rsidR="00595873" w:rsidDel="00595873">
              <w:rPr>
                <w:sz w:val="22"/>
                <w:szCs w:val="22"/>
              </w:rPr>
              <w:t xml:space="preserve"> </w:t>
            </w:r>
            <w:r w:rsidR="009633CB">
              <w:rPr>
                <w:sz w:val="22"/>
                <w:szCs w:val="22"/>
              </w:rPr>
              <w:t>with</w:t>
            </w:r>
            <w:r w:rsidR="00595873">
              <w:rPr>
                <w:sz w:val="22"/>
                <w:szCs w:val="22"/>
              </w:rPr>
              <w:t xml:space="preserve"> principal diagnos</w:t>
            </w:r>
            <w:r w:rsidR="006F4D5B">
              <w:rPr>
                <w:sz w:val="22"/>
                <w:szCs w:val="22"/>
              </w:rPr>
              <w:t>e</w:t>
            </w:r>
            <w:r w:rsidR="00595873">
              <w:rPr>
                <w:sz w:val="22"/>
                <w:szCs w:val="22"/>
              </w:rPr>
              <w:t>s of</w:t>
            </w:r>
            <w:r w:rsidR="009633CB">
              <w:rPr>
                <w:sz w:val="22"/>
                <w:szCs w:val="22"/>
              </w:rPr>
              <w:t xml:space="preserve"> PE in 2019 and 2022</w:t>
            </w:r>
            <w:r w:rsidR="006B014E">
              <w:rPr>
                <w:sz w:val="22"/>
                <w:szCs w:val="22"/>
              </w:rPr>
              <w:t xml:space="preserve">. </w:t>
            </w:r>
            <w:r w:rsidR="00A407B8">
              <w:rPr>
                <w:sz w:val="22"/>
                <w:szCs w:val="22"/>
              </w:rPr>
              <w:t>Demographics</w:t>
            </w:r>
            <w:r w:rsidR="003D153C">
              <w:rPr>
                <w:sz w:val="22"/>
                <w:szCs w:val="22"/>
              </w:rPr>
              <w:t xml:space="preserve"> and</w:t>
            </w:r>
            <w:r w:rsidR="00A407B8">
              <w:rPr>
                <w:sz w:val="22"/>
                <w:szCs w:val="22"/>
              </w:rPr>
              <w:t xml:space="preserve"> clinical characteristics</w:t>
            </w:r>
            <w:r w:rsidR="005655C8">
              <w:rPr>
                <w:sz w:val="22"/>
                <w:szCs w:val="22"/>
              </w:rPr>
              <w:t xml:space="preserve"> </w:t>
            </w:r>
            <w:r w:rsidR="003D153C">
              <w:rPr>
                <w:sz w:val="22"/>
                <w:szCs w:val="22"/>
              </w:rPr>
              <w:t>were extracted</w:t>
            </w:r>
            <w:r w:rsidR="005655C8">
              <w:rPr>
                <w:sz w:val="22"/>
                <w:szCs w:val="22"/>
              </w:rPr>
              <w:t xml:space="preserve">. </w:t>
            </w:r>
            <w:r w:rsidR="00AF4709">
              <w:rPr>
                <w:sz w:val="22"/>
                <w:szCs w:val="22"/>
              </w:rPr>
              <w:t xml:space="preserve">Baseline </w:t>
            </w:r>
            <w:r w:rsidR="00A44258">
              <w:rPr>
                <w:sz w:val="22"/>
                <w:szCs w:val="22"/>
              </w:rPr>
              <w:t xml:space="preserve">characteristics were compared using t-tests for continuous variables and </w:t>
            </w:r>
            <w:r w:rsidR="00550FE1">
              <w:rPr>
                <w:sz w:val="22"/>
                <w:szCs w:val="22"/>
              </w:rPr>
              <w:t>chi-square tests for categorical variables.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0861549B" w14:textId="7FCBFF3A" w:rsidR="001564A4" w:rsidRPr="0050053A" w:rsidRDefault="0059587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Twenty</w:t>
            </w:r>
            <w:r w:rsidR="00890FD0">
              <w:rPr>
                <w:sz w:val="22"/>
                <w:szCs w:val="22"/>
              </w:rPr>
              <w:t xml:space="preserve"> patients </w:t>
            </w:r>
            <w:r>
              <w:rPr>
                <w:sz w:val="22"/>
                <w:szCs w:val="22"/>
              </w:rPr>
              <w:t xml:space="preserve">presented </w:t>
            </w:r>
            <w:r w:rsidR="00890FD0">
              <w:rPr>
                <w:sz w:val="22"/>
                <w:szCs w:val="22"/>
              </w:rPr>
              <w:t xml:space="preserve">with </w:t>
            </w:r>
            <w:r w:rsidR="006F4D5B">
              <w:rPr>
                <w:sz w:val="22"/>
                <w:szCs w:val="22"/>
              </w:rPr>
              <w:t>high and high-intermediate</w:t>
            </w:r>
            <w:r w:rsidR="00890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</w:t>
            </w:r>
            <w:r w:rsidR="00890FD0">
              <w:rPr>
                <w:sz w:val="22"/>
                <w:szCs w:val="22"/>
              </w:rPr>
              <w:t xml:space="preserve"> in 2019 and 36 </w:t>
            </w:r>
            <w:r w:rsidR="00540989">
              <w:rPr>
                <w:sz w:val="22"/>
                <w:szCs w:val="22"/>
              </w:rPr>
              <w:t>patients in 2022</w:t>
            </w:r>
            <w:r w:rsidR="008F58E2">
              <w:rPr>
                <w:sz w:val="22"/>
                <w:szCs w:val="22"/>
              </w:rPr>
              <w:t>, an increase of 80%.</w:t>
            </w:r>
            <w:r w:rsidR="009D3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235456">
              <w:rPr>
                <w:sz w:val="22"/>
                <w:szCs w:val="22"/>
              </w:rPr>
              <w:t xml:space="preserve">verage age </w:t>
            </w:r>
            <w:r>
              <w:rPr>
                <w:sz w:val="22"/>
                <w:szCs w:val="22"/>
              </w:rPr>
              <w:t xml:space="preserve">trended higher in 2022 compared with 2019: 64.7±16.7yrs vs. </w:t>
            </w:r>
            <w:r w:rsidR="000824AE">
              <w:rPr>
                <w:sz w:val="22"/>
                <w:szCs w:val="22"/>
              </w:rPr>
              <w:t>57.1±</w:t>
            </w:r>
            <w:r w:rsidR="00914C2F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yrs,</w:t>
            </w:r>
            <w:r w:rsidR="00914C2F">
              <w:rPr>
                <w:sz w:val="22"/>
                <w:szCs w:val="22"/>
              </w:rPr>
              <w:t xml:space="preserve"> p=0.13.</w:t>
            </w:r>
            <w:r w:rsidR="00B45764">
              <w:rPr>
                <w:sz w:val="22"/>
                <w:szCs w:val="22"/>
              </w:rPr>
              <w:t xml:space="preserve"> </w:t>
            </w:r>
            <w:r w:rsidR="00282F6B">
              <w:rPr>
                <w:sz w:val="22"/>
                <w:szCs w:val="22"/>
              </w:rPr>
              <w:t>Sev</w:t>
            </w:r>
            <w:r w:rsidR="00ED76BB">
              <w:rPr>
                <w:sz w:val="22"/>
                <w:szCs w:val="22"/>
              </w:rPr>
              <w:t>er</w:t>
            </w:r>
            <w:r w:rsidR="00282F6B">
              <w:rPr>
                <w:sz w:val="22"/>
                <w:szCs w:val="22"/>
              </w:rPr>
              <w:t>al</w:t>
            </w:r>
            <w:r w:rsidR="00B45764">
              <w:rPr>
                <w:sz w:val="22"/>
                <w:szCs w:val="22"/>
              </w:rPr>
              <w:t xml:space="preserve"> comorbidities were </w:t>
            </w:r>
            <w:r>
              <w:rPr>
                <w:sz w:val="22"/>
                <w:szCs w:val="22"/>
              </w:rPr>
              <w:t xml:space="preserve">non-significantly </w:t>
            </w:r>
            <w:r w:rsidR="00B45764">
              <w:rPr>
                <w:sz w:val="22"/>
                <w:szCs w:val="22"/>
              </w:rPr>
              <w:t>more prevalent in 2022</w:t>
            </w:r>
            <w:r w:rsidR="00804A08">
              <w:rPr>
                <w:sz w:val="22"/>
                <w:szCs w:val="22"/>
              </w:rPr>
              <w:t xml:space="preserve"> compared to 2019</w:t>
            </w:r>
            <w:r w:rsidR="00C93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patients</w:t>
            </w:r>
            <w:r w:rsidR="00804A08">
              <w:rPr>
                <w:sz w:val="22"/>
                <w:szCs w:val="22"/>
              </w:rPr>
              <w:t>, including chronic lung disease (25% vs. 10%</w:t>
            </w:r>
            <w:r w:rsidR="000174D2">
              <w:rPr>
                <w:sz w:val="22"/>
                <w:szCs w:val="22"/>
              </w:rPr>
              <w:t xml:space="preserve">, </w:t>
            </w:r>
            <w:r w:rsidR="008D3D36">
              <w:rPr>
                <w:sz w:val="22"/>
                <w:szCs w:val="22"/>
              </w:rPr>
              <w:t>p=0.18</w:t>
            </w:r>
            <w:r w:rsidR="00804A08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and</w:t>
            </w:r>
            <w:r w:rsidR="00D753C4">
              <w:rPr>
                <w:sz w:val="22"/>
                <w:szCs w:val="22"/>
              </w:rPr>
              <w:t xml:space="preserve"> pre-existing</w:t>
            </w:r>
            <w:r w:rsidR="00804A08">
              <w:rPr>
                <w:sz w:val="22"/>
                <w:szCs w:val="22"/>
              </w:rPr>
              <w:t xml:space="preserve"> heart failure (14% vs</w:t>
            </w:r>
            <w:r w:rsidR="003E5116">
              <w:rPr>
                <w:sz w:val="22"/>
                <w:szCs w:val="22"/>
              </w:rPr>
              <w:t>.</w:t>
            </w:r>
            <w:r w:rsidR="00804A08">
              <w:rPr>
                <w:sz w:val="22"/>
                <w:szCs w:val="22"/>
              </w:rPr>
              <w:t xml:space="preserve"> </w:t>
            </w:r>
            <w:r w:rsidR="005A0C9B">
              <w:rPr>
                <w:sz w:val="22"/>
                <w:szCs w:val="22"/>
              </w:rPr>
              <w:t>0%</w:t>
            </w:r>
            <w:r w:rsidR="008D3D36">
              <w:rPr>
                <w:sz w:val="22"/>
                <w:szCs w:val="22"/>
              </w:rPr>
              <w:t>, p=0.081</w:t>
            </w:r>
            <w:r w:rsidR="005A0C9B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Fewer were taking hormonal therapy in 2022 (2.8% vs. 20%, p=0.03). There were no significant differences in size or location of PE on CTPA, or acute haemodynamic status. More patients had CTPA-pulmonary artery enlargement in 2022 (53% vs. 25%, p=0.045), however no difference in echocardiogram parameters or</w:t>
            </w:r>
            <w:r w:rsidR="0043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troponin</w:t>
            </w:r>
            <w:r w:rsidR="004348C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 Eight</w:t>
            </w:r>
            <w:r w:rsidR="000E7811">
              <w:rPr>
                <w:sz w:val="22"/>
                <w:szCs w:val="22"/>
              </w:rPr>
              <w:t xml:space="preserve"> patients in 2022 had documented preceding COVID-19 illness</w:t>
            </w:r>
            <w:r w:rsidR="00896F9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[median 38days (range 12-107days) between positive result and PE hospitalisation], including 4 within 30days of infection</w:t>
            </w:r>
            <w:r w:rsidR="006F7A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Rates of intervention were not different. Five patients in the combined cohort died within 30days (2 in 2019, 3 in 2022; none with preceding COVID</w:t>
            </w:r>
            <w:r w:rsidR="00E45ECE">
              <w:rPr>
                <w:sz w:val="22"/>
                <w:szCs w:val="22"/>
              </w:rPr>
              <w:t>-19</w:t>
            </w:r>
            <w:r>
              <w:rPr>
                <w:sz w:val="22"/>
                <w:szCs w:val="22"/>
              </w:rPr>
              <w:t xml:space="preserve">). Patients with fatal outcomes had higher respiratory rates at presentation, (38 vs. 24 breaths/min, p=0.05) but no differences in initial </w:t>
            </w:r>
            <w:proofErr w:type="spellStart"/>
            <w:r>
              <w:rPr>
                <w:sz w:val="22"/>
                <w:szCs w:val="22"/>
              </w:rPr>
              <w:t>haemodynamics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8F77515" w14:textId="22F6D366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34BF0A0F" w14:textId="220FD028" w:rsidR="001564A4" w:rsidRPr="003E35F0" w:rsidRDefault="004348C0" w:rsidP="00DD76DD">
            <w:pPr>
              <w:pStyle w:val="Pa12"/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T</w:t>
            </w:r>
            <w:r w:rsidRPr="004348C0">
              <w:rPr>
                <w:bCs/>
                <w:color w:val="000000"/>
                <w:sz w:val="22"/>
                <w:szCs w:val="22"/>
                <w:lang w:val="en-GB"/>
              </w:rPr>
              <w:t>he incidence of PE requiring higher level care was substantially higher in 2022 compared to 2019</w:t>
            </w:r>
            <w:r w:rsidR="003479EE">
              <w:rPr>
                <w:rStyle w:val="A4"/>
                <w:bCs/>
              </w:rPr>
              <w:t xml:space="preserve">. </w:t>
            </w:r>
            <w:r w:rsidR="00621C75">
              <w:rPr>
                <w:rStyle w:val="A4"/>
                <w:bCs/>
              </w:rPr>
              <w:t xml:space="preserve">An older, more comorbid </w:t>
            </w:r>
            <w:r w:rsidR="00235456">
              <w:rPr>
                <w:rStyle w:val="A4"/>
                <w:bCs/>
              </w:rPr>
              <w:t xml:space="preserve">patient </w:t>
            </w:r>
            <w:r w:rsidR="00621C75">
              <w:rPr>
                <w:rStyle w:val="A4"/>
                <w:bCs/>
              </w:rPr>
              <w:t xml:space="preserve">population and the COVID-19 pandemic are </w:t>
            </w:r>
            <w:r w:rsidR="00806430">
              <w:rPr>
                <w:rStyle w:val="A4"/>
                <w:bCs/>
              </w:rPr>
              <w:t>potential</w:t>
            </w:r>
            <w:r w:rsidR="00621C75">
              <w:rPr>
                <w:rStyle w:val="A4"/>
                <w:bCs/>
              </w:rPr>
              <w:t xml:space="preserve"> </w:t>
            </w:r>
            <w:r w:rsidR="00C02CCD">
              <w:rPr>
                <w:rStyle w:val="A4"/>
                <w:bCs/>
              </w:rPr>
              <w:t>contributors</w:t>
            </w:r>
            <w:r w:rsidR="00621C75">
              <w:rPr>
                <w:rStyle w:val="A4"/>
                <w:bCs/>
              </w:rPr>
              <w:t>.</w:t>
            </w: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tr w:rsidR="00595873" w:rsidRPr="0050053A" w14:paraId="2CA61542" w14:textId="77777777" w:rsidTr="00DD76DD">
        <w:trPr>
          <w:trHeight w:hRule="exact" w:val="60"/>
          <w:jc w:val="center"/>
        </w:trPr>
        <w:tc>
          <w:tcPr>
            <w:tcW w:w="8640" w:type="dxa"/>
            <w:shd w:val="clear" w:color="auto" w:fill="auto"/>
          </w:tcPr>
          <w:p w14:paraId="536389B0" w14:textId="77777777" w:rsidR="00595873" w:rsidRDefault="00595873" w:rsidP="000A28E2">
            <w:pPr>
              <w:pStyle w:val="Pa12"/>
              <w:rPr>
                <w:rStyle w:val="A4"/>
                <w:b/>
                <w:bCs/>
              </w:rPr>
            </w:pP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74D2"/>
    <w:rsid w:val="00020650"/>
    <w:rsid w:val="000221F8"/>
    <w:rsid w:val="0004318F"/>
    <w:rsid w:val="00060C98"/>
    <w:rsid w:val="00062CE4"/>
    <w:rsid w:val="000717AB"/>
    <w:rsid w:val="000824AE"/>
    <w:rsid w:val="00095A95"/>
    <w:rsid w:val="000A0A33"/>
    <w:rsid w:val="000B7904"/>
    <w:rsid w:val="000E7811"/>
    <w:rsid w:val="0010518C"/>
    <w:rsid w:val="00105CD1"/>
    <w:rsid w:val="00117F90"/>
    <w:rsid w:val="0014194B"/>
    <w:rsid w:val="00145182"/>
    <w:rsid w:val="00145B70"/>
    <w:rsid w:val="00151102"/>
    <w:rsid w:val="001564A4"/>
    <w:rsid w:val="001576A0"/>
    <w:rsid w:val="00165486"/>
    <w:rsid w:val="001724CB"/>
    <w:rsid w:val="001A4681"/>
    <w:rsid w:val="001B3A75"/>
    <w:rsid w:val="00213C8E"/>
    <w:rsid w:val="00235456"/>
    <w:rsid w:val="00252AEA"/>
    <w:rsid w:val="002778AE"/>
    <w:rsid w:val="00282F6B"/>
    <w:rsid w:val="00297BEE"/>
    <w:rsid w:val="002A0199"/>
    <w:rsid w:val="002A4645"/>
    <w:rsid w:val="002D5421"/>
    <w:rsid w:val="002E001B"/>
    <w:rsid w:val="002E244A"/>
    <w:rsid w:val="002E67BF"/>
    <w:rsid w:val="0033583C"/>
    <w:rsid w:val="00337B82"/>
    <w:rsid w:val="003479EE"/>
    <w:rsid w:val="003A1D00"/>
    <w:rsid w:val="003B03D0"/>
    <w:rsid w:val="003D153C"/>
    <w:rsid w:val="003E271E"/>
    <w:rsid w:val="003E5116"/>
    <w:rsid w:val="00404EA8"/>
    <w:rsid w:val="004348C0"/>
    <w:rsid w:val="00454CC7"/>
    <w:rsid w:val="00462025"/>
    <w:rsid w:val="00485016"/>
    <w:rsid w:val="00486F23"/>
    <w:rsid w:val="00495A9B"/>
    <w:rsid w:val="004B48A9"/>
    <w:rsid w:val="004D43DA"/>
    <w:rsid w:val="004D7B8E"/>
    <w:rsid w:val="004E52F5"/>
    <w:rsid w:val="005031EA"/>
    <w:rsid w:val="00504BCD"/>
    <w:rsid w:val="0051574E"/>
    <w:rsid w:val="005200A6"/>
    <w:rsid w:val="0052337A"/>
    <w:rsid w:val="005240F2"/>
    <w:rsid w:val="00540989"/>
    <w:rsid w:val="00550FE1"/>
    <w:rsid w:val="005655C8"/>
    <w:rsid w:val="00567787"/>
    <w:rsid w:val="00576715"/>
    <w:rsid w:val="00595873"/>
    <w:rsid w:val="00597FA7"/>
    <w:rsid w:val="005A0C9B"/>
    <w:rsid w:val="005C05EA"/>
    <w:rsid w:val="005C7DD5"/>
    <w:rsid w:val="005D3155"/>
    <w:rsid w:val="00612DB0"/>
    <w:rsid w:val="00617F4C"/>
    <w:rsid w:val="00621C75"/>
    <w:rsid w:val="00622B3E"/>
    <w:rsid w:val="00636B7D"/>
    <w:rsid w:val="006435F2"/>
    <w:rsid w:val="00675564"/>
    <w:rsid w:val="00683FD6"/>
    <w:rsid w:val="0069790B"/>
    <w:rsid w:val="006B014E"/>
    <w:rsid w:val="006C4D24"/>
    <w:rsid w:val="006D214B"/>
    <w:rsid w:val="006D2BB1"/>
    <w:rsid w:val="006D3954"/>
    <w:rsid w:val="006E5466"/>
    <w:rsid w:val="006F3751"/>
    <w:rsid w:val="006F4D5B"/>
    <w:rsid w:val="006F7AE4"/>
    <w:rsid w:val="00700B34"/>
    <w:rsid w:val="00713E95"/>
    <w:rsid w:val="00741452"/>
    <w:rsid w:val="007639B5"/>
    <w:rsid w:val="00763C82"/>
    <w:rsid w:val="00764D45"/>
    <w:rsid w:val="007806A7"/>
    <w:rsid w:val="00785BB4"/>
    <w:rsid w:val="007A5D3C"/>
    <w:rsid w:val="007F7B87"/>
    <w:rsid w:val="00804A08"/>
    <w:rsid w:val="00806430"/>
    <w:rsid w:val="008204EA"/>
    <w:rsid w:val="00843D2F"/>
    <w:rsid w:val="00867FE7"/>
    <w:rsid w:val="00873C36"/>
    <w:rsid w:val="00876DB0"/>
    <w:rsid w:val="008803FA"/>
    <w:rsid w:val="00880533"/>
    <w:rsid w:val="00882078"/>
    <w:rsid w:val="00883640"/>
    <w:rsid w:val="00890FD0"/>
    <w:rsid w:val="008912C4"/>
    <w:rsid w:val="00896F95"/>
    <w:rsid w:val="008C017E"/>
    <w:rsid w:val="008D3D36"/>
    <w:rsid w:val="008E499F"/>
    <w:rsid w:val="008F58E2"/>
    <w:rsid w:val="00914C2F"/>
    <w:rsid w:val="00915CAD"/>
    <w:rsid w:val="00916FF5"/>
    <w:rsid w:val="00926E5F"/>
    <w:rsid w:val="00951467"/>
    <w:rsid w:val="009633CB"/>
    <w:rsid w:val="009650A2"/>
    <w:rsid w:val="0096703C"/>
    <w:rsid w:val="00971F4B"/>
    <w:rsid w:val="009834B6"/>
    <w:rsid w:val="00986A2A"/>
    <w:rsid w:val="00990247"/>
    <w:rsid w:val="009D2964"/>
    <w:rsid w:val="009D3025"/>
    <w:rsid w:val="00A02FDD"/>
    <w:rsid w:val="00A07A47"/>
    <w:rsid w:val="00A252F9"/>
    <w:rsid w:val="00A271B2"/>
    <w:rsid w:val="00A407B8"/>
    <w:rsid w:val="00A44258"/>
    <w:rsid w:val="00A56193"/>
    <w:rsid w:val="00A56303"/>
    <w:rsid w:val="00A82956"/>
    <w:rsid w:val="00AA208F"/>
    <w:rsid w:val="00AA3338"/>
    <w:rsid w:val="00AB7D1F"/>
    <w:rsid w:val="00AC62E6"/>
    <w:rsid w:val="00AF16AC"/>
    <w:rsid w:val="00AF4709"/>
    <w:rsid w:val="00AF776F"/>
    <w:rsid w:val="00B02464"/>
    <w:rsid w:val="00B12E32"/>
    <w:rsid w:val="00B3432E"/>
    <w:rsid w:val="00B45764"/>
    <w:rsid w:val="00B60E8D"/>
    <w:rsid w:val="00BB7E91"/>
    <w:rsid w:val="00BD0CA1"/>
    <w:rsid w:val="00BE0997"/>
    <w:rsid w:val="00BF159B"/>
    <w:rsid w:val="00C02CCD"/>
    <w:rsid w:val="00C22004"/>
    <w:rsid w:val="00C344DD"/>
    <w:rsid w:val="00C34DF2"/>
    <w:rsid w:val="00C417DD"/>
    <w:rsid w:val="00C613F2"/>
    <w:rsid w:val="00C61D24"/>
    <w:rsid w:val="00C87CEE"/>
    <w:rsid w:val="00C934D8"/>
    <w:rsid w:val="00CA52BA"/>
    <w:rsid w:val="00CB3DCC"/>
    <w:rsid w:val="00CB7103"/>
    <w:rsid w:val="00CC5B7B"/>
    <w:rsid w:val="00CF6837"/>
    <w:rsid w:val="00D057EF"/>
    <w:rsid w:val="00D61791"/>
    <w:rsid w:val="00D675C6"/>
    <w:rsid w:val="00D753C4"/>
    <w:rsid w:val="00DA40D0"/>
    <w:rsid w:val="00DA6D1F"/>
    <w:rsid w:val="00DD76DD"/>
    <w:rsid w:val="00DE63C9"/>
    <w:rsid w:val="00DE6AEF"/>
    <w:rsid w:val="00E011A6"/>
    <w:rsid w:val="00E05435"/>
    <w:rsid w:val="00E05EB0"/>
    <w:rsid w:val="00E0700F"/>
    <w:rsid w:val="00E31C0D"/>
    <w:rsid w:val="00E44D5F"/>
    <w:rsid w:val="00E45ECE"/>
    <w:rsid w:val="00E502E5"/>
    <w:rsid w:val="00E614E9"/>
    <w:rsid w:val="00E65195"/>
    <w:rsid w:val="00E65FB9"/>
    <w:rsid w:val="00E6742E"/>
    <w:rsid w:val="00E75DF0"/>
    <w:rsid w:val="00E82B0B"/>
    <w:rsid w:val="00E94ACA"/>
    <w:rsid w:val="00EB3C16"/>
    <w:rsid w:val="00EC79FC"/>
    <w:rsid w:val="00ED1F4E"/>
    <w:rsid w:val="00ED76BB"/>
    <w:rsid w:val="00EE1560"/>
    <w:rsid w:val="00F005BB"/>
    <w:rsid w:val="00F019D3"/>
    <w:rsid w:val="00F11333"/>
    <w:rsid w:val="00F31248"/>
    <w:rsid w:val="00F37C55"/>
    <w:rsid w:val="00F40E98"/>
    <w:rsid w:val="00F851C7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59587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075CB36D3154391FEBD1B08E6368E" ma:contentTypeVersion="9" ma:contentTypeDescription="Create a new document." ma:contentTypeScope="" ma:versionID="65f621731260303ae5165e167e765d5c">
  <xsd:schema xmlns:xsd="http://www.w3.org/2001/XMLSchema" xmlns:xs="http://www.w3.org/2001/XMLSchema" xmlns:p="http://schemas.microsoft.com/office/2006/metadata/properties" xmlns:ns3="63d40767-bd8c-4e0f-a9b7-6aadc2da8ef3" xmlns:ns4="db482944-7e82-4d97-87b6-f2754b2666c6" targetNamespace="http://schemas.microsoft.com/office/2006/metadata/properties" ma:root="true" ma:fieldsID="b140be73d63afee52896c9ccc6a6314f" ns3:_="" ns4:_="">
    <xsd:import namespace="63d40767-bd8c-4e0f-a9b7-6aadc2da8ef3"/>
    <xsd:import namespace="db482944-7e82-4d97-87b6-f2754b266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40767-bd8c-4e0f-a9b7-6aadc2da8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82944-7e82-4d97-87b6-f2754b266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40767-bd8c-4e0f-a9b7-6aadc2da8e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1FC2A-C599-4745-A09F-3CD35099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40767-bd8c-4e0f-a9b7-6aadc2da8ef3"/>
    <ds:schemaRef ds:uri="db482944-7e82-4d97-87b6-f2754b26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63d40767-bd8c-4e0f-a9b7-6aadc2da8ef3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Lauren Troy</cp:lastModifiedBy>
  <cp:revision>4</cp:revision>
  <dcterms:created xsi:type="dcterms:W3CDTF">2023-10-18T18:42:00Z</dcterms:created>
  <dcterms:modified xsi:type="dcterms:W3CDTF">2023-10-18T19:17:00Z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0x010100D6E075CB36D3154391FEBD1B08E6368E</vt:lpwstr>
  </property>
  <property fmtid="{D5CDD505-2E9C-101B-9397-08002B2CF9AE}" pid="3" name="MediaServiceImageTags">
    <vt:lpwstr/>
  </property>
</Properties>
</file>