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EEE2" w14:textId="6D75AEF5" w:rsidR="005D0A19" w:rsidRPr="006B6FE9" w:rsidRDefault="009F5DB5" w:rsidP="009F5DB5">
      <w:pPr>
        <w:spacing w:after="0" w:line="480" w:lineRule="auto"/>
        <w:jc w:val="center"/>
        <w:rPr>
          <w:rFonts w:ascii="Times New Roman" w:hAnsi="Times New Roman" w:cs="Times New Roman"/>
          <w:b/>
          <w:bCs/>
        </w:rPr>
      </w:pPr>
      <w:r w:rsidRPr="006B6FE9">
        <w:rPr>
          <w:rFonts w:ascii="Times New Roman" w:hAnsi="Times New Roman" w:cs="Times New Roman"/>
          <w:b/>
          <w:bCs/>
        </w:rPr>
        <w:t xml:space="preserve">The perceived support and technology-related knowledge needs in </w:t>
      </w:r>
      <w:r w:rsidRPr="006B6FE9">
        <w:rPr>
          <w:rFonts w:ascii="Times New Roman" w:hAnsi="Times New Roman" w:cs="Times New Roman"/>
          <w:b/>
          <w:bCs/>
          <w:color w:val="131413"/>
          <w:kern w:val="0"/>
        </w:rPr>
        <w:t>diabetic ketoacidosis of</w:t>
      </w:r>
      <w:r w:rsidRPr="006B6FE9">
        <w:rPr>
          <w:rFonts w:ascii="Times New Roman" w:hAnsi="Times New Roman" w:cs="Times New Roman"/>
          <w:b/>
          <w:bCs/>
        </w:rPr>
        <w:t xml:space="preserve"> people living with type 1 diabetes, their family and healthcare professional carers</w:t>
      </w:r>
    </w:p>
    <w:p w14:paraId="44AE1FB6" w14:textId="77777777" w:rsidR="009F5DB5" w:rsidRPr="00EF03DB" w:rsidRDefault="009F5DB5">
      <w:pPr>
        <w:rPr>
          <w:highlight w:val="yellow"/>
        </w:rPr>
      </w:pPr>
    </w:p>
    <w:p w14:paraId="57BA088E" w14:textId="77777777" w:rsidR="00EF03DB" w:rsidRDefault="00EF03DB" w:rsidP="00EF03DB">
      <w:pPr>
        <w:spacing w:after="0" w:line="480" w:lineRule="auto"/>
        <w:jc w:val="both"/>
        <w:rPr>
          <w:rFonts w:ascii="Times New Roman" w:hAnsi="Times New Roman" w:cs="Times New Roman"/>
          <w:b/>
          <w:bCs/>
        </w:rPr>
      </w:pPr>
      <w:bookmarkStart w:id="0" w:name="_Hlk219580799"/>
      <w:r w:rsidRPr="00EF03DB">
        <w:rPr>
          <w:rFonts w:ascii="Times New Roman" w:hAnsi="Times New Roman" w:cs="Times New Roman"/>
          <w:b/>
          <w:bCs/>
        </w:rPr>
        <w:t>Background and aim</w:t>
      </w:r>
    </w:p>
    <w:p w14:paraId="3145F9D2" w14:textId="5021FECB" w:rsidR="00EF03DB" w:rsidRPr="00EF03DB" w:rsidRDefault="00900B38" w:rsidP="00EF03DB">
      <w:pPr>
        <w:spacing w:after="0" w:line="480" w:lineRule="auto"/>
        <w:jc w:val="both"/>
        <w:rPr>
          <w:rFonts w:ascii="Times New Roman" w:hAnsi="Times New Roman" w:cs="Times New Roman"/>
          <w:color w:val="000000"/>
          <w:highlight w:val="yellow"/>
        </w:rPr>
      </w:pPr>
      <w:r w:rsidRPr="00900B38">
        <w:rPr>
          <w:rFonts w:ascii="Times New Roman" w:hAnsi="Times New Roman" w:cs="Times New Roman"/>
          <w:color w:val="000000"/>
        </w:rPr>
        <w:t>Australia has among the highest global rates of type 1 diabetes</w:t>
      </w:r>
      <w:r w:rsidR="0084011D" w:rsidRPr="00C16AA7">
        <w:rPr>
          <w:rFonts w:ascii="Times New Roman" w:hAnsi="Times New Roman" w:cs="Times New Roman"/>
          <w:color w:val="000000"/>
        </w:rPr>
        <w:t xml:space="preserve"> (T1D)</w:t>
      </w:r>
      <w:r w:rsidRPr="00900B38">
        <w:rPr>
          <w:rFonts w:ascii="Times New Roman" w:hAnsi="Times New Roman" w:cs="Times New Roman"/>
          <w:color w:val="000000"/>
        </w:rPr>
        <w:t>, increasing vulnerability to diabetic ketoacidosis (DKA).</w:t>
      </w:r>
      <w:r>
        <w:rPr>
          <w:rFonts w:ascii="Times New Roman" w:hAnsi="Times New Roman" w:cs="Times New Roman"/>
          <w:color w:val="000000"/>
        </w:rPr>
        <w:t xml:space="preserve"> </w:t>
      </w:r>
      <w:r w:rsidR="00EF03DB" w:rsidRPr="00EF03DB">
        <w:rPr>
          <w:rFonts w:ascii="Times New Roman" w:hAnsi="Times New Roman" w:cs="Times New Roman"/>
        </w:rPr>
        <w:t xml:space="preserve">This study aimed to 1) identify the perceived support needs of people with </w:t>
      </w:r>
      <w:r w:rsidR="0084011D">
        <w:rPr>
          <w:rFonts w:ascii="Times New Roman" w:hAnsi="Times New Roman" w:cs="Times New Roman"/>
        </w:rPr>
        <w:t>T1D</w:t>
      </w:r>
      <w:r w:rsidR="00EF03DB" w:rsidRPr="00EF03DB">
        <w:rPr>
          <w:rFonts w:ascii="Times New Roman" w:hAnsi="Times New Roman" w:cs="Times New Roman"/>
        </w:rPr>
        <w:t xml:space="preserve"> and their carers for avoiding and managing DKA, and 2) examine the diabetes technology</w:t>
      </w:r>
      <w:r w:rsidR="00885A76">
        <w:rPr>
          <w:rFonts w:ascii="Times New Roman" w:hAnsi="Times New Roman" w:cs="Times New Roman"/>
        </w:rPr>
        <w:t>-</w:t>
      </w:r>
      <w:r w:rsidR="00EF03DB" w:rsidRPr="00EF03DB">
        <w:rPr>
          <w:rFonts w:ascii="Times New Roman" w:hAnsi="Times New Roman" w:cs="Times New Roman"/>
        </w:rPr>
        <w:t>related knowledge needs of healthcare professionals involved in DKA care.</w:t>
      </w:r>
    </w:p>
    <w:p w14:paraId="574ECB20" w14:textId="77777777" w:rsidR="006B5F9E" w:rsidRDefault="00EF03DB" w:rsidP="00EF03DB">
      <w:pPr>
        <w:spacing w:after="0" w:line="480" w:lineRule="auto"/>
        <w:jc w:val="both"/>
        <w:rPr>
          <w:rFonts w:ascii="Times New Roman" w:hAnsi="Times New Roman" w:cs="Times New Roman"/>
        </w:rPr>
      </w:pPr>
      <w:r w:rsidRPr="00EF03DB">
        <w:rPr>
          <w:rFonts w:ascii="Times New Roman" w:hAnsi="Times New Roman" w:cs="Times New Roman"/>
          <w:b/>
          <w:bCs/>
        </w:rPr>
        <w:t>Methods</w:t>
      </w:r>
    </w:p>
    <w:p w14:paraId="648DAF26" w14:textId="0FE5009A" w:rsidR="00EF03DB" w:rsidRPr="00EF03DB" w:rsidRDefault="00EF03DB" w:rsidP="00EF03DB">
      <w:pPr>
        <w:spacing w:after="0" w:line="480" w:lineRule="auto"/>
        <w:jc w:val="both"/>
        <w:rPr>
          <w:rFonts w:ascii="Times New Roman" w:hAnsi="Times New Roman" w:cs="Times New Roman"/>
        </w:rPr>
      </w:pPr>
      <w:r w:rsidRPr="00EF03DB">
        <w:rPr>
          <w:rFonts w:ascii="Times New Roman" w:hAnsi="Times New Roman" w:cs="Times New Roman"/>
        </w:rPr>
        <w:t>A two</w:t>
      </w:r>
      <w:r w:rsidRPr="00EF03DB">
        <w:rPr>
          <w:rFonts w:ascii="Times New Roman" w:hAnsi="Times New Roman" w:cs="Times New Roman"/>
        </w:rPr>
        <w:noBreakHyphen/>
        <w:t>phase mixed</w:t>
      </w:r>
      <w:r w:rsidRPr="00EF03DB">
        <w:rPr>
          <w:rFonts w:ascii="Times New Roman" w:hAnsi="Times New Roman" w:cs="Times New Roman"/>
        </w:rPr>
        <w:noBreakHyphen/>
        <w:t xml:space="preserve">methods study was conducted using anonymous Qualtrics™ surveys. Phase One recruited people with </w:t>
      </w:r>
      <w:r w:rsidR="0084011D">
        <w:rPr>
          <w:rFonts w:ascii="Times New Roman" w:hAnsi="Times New Roman" w:cs="Times New Roman"/>
        </w:rPr>
        <w:t>T1D</w:t>
      </w:r>
      <w:r w:rsidRPr="00EF03DB">
        <w:rPr>
          <w:rFonts w:ascii="Times New Roman" w:hAnsi="Times New Roman" w:cs="Times New Roman"/>
        </w:rPr>
        <w:t xml:space="preserve"> presenting to the study hospital, and carers, identified through daily clinical information system review and hospital-wide advertisements. Phase Two recruited healthcare professionals from the Emergency Department and broader care continuum with experience managing DKA, identified by clinical leads. Quantitative data were analysed using chi</w:t>
      </w:r>
      <w:r w:rsidRPr="00EF03DB">
        <w:rPr>
          <w:rFonts w:ascii="Times New Roman" w:hAnsi="Times New Roman" w:cs="Times New Roman"/>
        </w:rPr>
        <w:noBreakHyphen/>
        <w:t>square, Fisher’s exact tests, and t</w:t>
      </w:r>
      <w:r w:rsidRPr="00EF03DB">
        <w:rPr>
          <w:rFonts w:ascii="Times New Roman" w:hAnsi="Times New Roman" w:cs="Times New Roman"/>
        </w:rPr>
        <w:noBreakHyphen/>
        <w:t>tests. Qualitative responses were analysed thematically using Gibb’s reflective framework</w:t>
      </w:r>
      <w:r w:rsidR="006B5F9E">
        <w:rPr>
          <w:rFonts w:ascii="Times New Roman" w:hAnsi="Times New Roman" w:cs="Times New Roman"/>
        </w:rPr>
        <w:t>.</w:t>
      </w:r>
    </w:p>
    <w:p w14:paraId="2A85380C" w14:textId="6D4D6891" w:rsidR="00EF03DB" w:rsidRDefault="00EF03DB" w:rsidP="00EF03DB">
      <w:pPr>
        <w:spacing w:after="0" w:line="480" w:lineRule="auto"/>
        <w:jc w:val="both"/>
        <w:rPr>
          <w:rFonts w:ascii="Times New Roman" w:hAnsi="Times New Roman" w:cs="Times New Roman"/>
        </w:rPr>
      </w:pPr>
      <w:r w:rsidRPr="00EF03DB">
        <w:rPr>
          <w:rFonts w:ascii="Times New Roman" w:hAnsi="Times New Roman" w:cs="Times New Roman"/>
          <w:b/>
          <w:bCs/>
        </w:rPr>
        <w:t>Results</w:t>
      </w:r>
      <w:r w:rsidRPr="00EF03DB">
        <w:rPr>
          <w:rFonts w:ascii="Times New Roman" w:hAnsi="Times New Roman" w:cs="Times New Roman"/>
        </w:rPr>
        <w:br/>
        <w:t xml:space="preserve">Phase One yielded 38 responses (68.4% from people with </w:t>
      </w:r>
      <w:r w:rsidR="00CC1349">
        <w:rPr>
          <w:rFonts w:ascii="Times New Roman" w:hAnsi="Times New Roman" w:cs="Times New Roman"/>
        </w:rPr>
        <w:t>T1D</w:t>
      </w:r>
      <w:r w:rsidRPr="00EF03DB">
        <w:rPr>
          <w:rFonts w:ascii="Times New Roman" w:hAnsi="Times New Roman" w:cs="Times New Roman"/>
        </w:rPr>
        <w:t xml:space="preserve">; mean±SD age 44.5±22.3 years; </w:t>
      </w:r>
      <w:r w:rsidR="008B24E8">
        <w:rPr>
          <w:rFonts w:ascii="Times New Roman" w:hAnsi="Times New Roman" w:cs="Times New Roman"/>
        </w:rPr>
        <w:t>T1D</w:t>
      </w:r>
      <w:r w:rsidRPr="00EF03DB">
        <w:rPr>
          <w:rFonts w:ascii="Times New Roman" w:hAnsi="Times New Roman" w:cs="Times New Roman"/>
        </w:rPr>
        <w:t xml:space="preserve"> duration 19.0±15.4 years). Phase Two produced 51 healthcare professional responses (62.7% nurses, 23.5% doctors; mean±SD age 39.7±11.2 years; professional experience 12.9±11.4 years; </w:t>
      </w:r>
      <w:r w:rsidR="008B24E8">
        <w:rPr>
          <w:rFonts w:ascii="Times New Roman" w:hAnsi="Times New Roman" w:cs="Times New Roman"/>
        </w:rPr>
        <w:t>T1D</w:t>
      </w:r>
      <w:r w:rsidRPr="00EF03DB">
        <w:rPr>
          <w:rFonts w:ascii="Times New Roman" w:hAnsi="Times New Roman" w:cs="Times New Roman"/>
        </w:rPr>
        <w:t xml:space="preserve"> care experience 10.1±9.6 years). Across both phases, findings converged to show substantial perceived gaps in DKA-related support, including difficulties recognising early deterioration, limited access to timely advice, and uncertainty in navigating technology-assisted management. Healthcare professionals reported significant needs for further training </w:t>
      </w:r>
      <w:r w:rsidRPr="00EF03DB">
        <w:rPr>
          <w:rFonts w:ascii="Times New Roman" w:hAnsi="Times New Roman" w:cs="Times New Roman"/>
        </w:rPr>
        <w:lastRenderedPageBreak/>
        <w:t>in diabetes technologies, including insulin pumps, continuous glucose monitoring, and sick-day adjustment protocols.</w:t>
      </w:r>
    </w:p>
    <w:p w14:paraId="12FAA06E" w14:textId="77777777" w:rsidR="00687169" w:rsidRDefault="00EF03DB" w:rsidP="00357B81">
      <w:pPr>
        <w:spacing w:after="0" w:line="480" w:lineRule="auto"/>
        <w:jc w:val="both"/>
        <w:rPr>
          <w:rFonts w:ascii="Times New Roman" w:hAnsi="Times New Roman" w:cs="Times New Roman"/>
          <w:b/>
          <w:bCs/>
        </w:rPr>
      </w:pPr>
      <w:r w:rsidRPr="00EF03DB">
        <w:rPr>
          <w:rFonts w:ascii="Times New Roman" w:hAnsi="Times New Roman" w:cs="Times New Roman"/>
          <w:b/>
          <w:bCs/>
        </w:rPr>
        <w:t>Conclusion</w:t>
      </w:r>
    </w:p>
    <w:p w14:paraId="05E17ABC" w14:textId="326F7C9C" w:rsidR="009F5DB5" w:rsidRPr="00357B81" w:rsidRDefault="00EF03DB" w:rsidP="00357B81">
      <w:pPr>
        <w:spacing w:after="0" w:line="480" w:lineRule="auto"/>
        <w:jc w:val="both"/>
        <w:rPr>
          <w:rFonts w:ascii="Times New Roman" w:hAnsi="Times New Roman" w:cs="Times New Roman"/>
        </w:rPr>
      </w:pPr>
      <w:r w:rsidRPr="00EF03DB">
        <w:rPr>
          <w:rFonts w:ascii="Times New Roman" w:hAnsi="Times New Roman" w:cs="Times New Roman"/>
        </w:rPr>
        <w:t xml:space="preserve">This study demonstrates that both people with </w:t>
      </w:r>
      <w:r w:rsidR="00687169">
        <w:rPr>
          <w:rFonts w:ascii="Times New Roman" w:hAnsi="Times New Roman" w:cs="Times New Roman"/>
        </w:rPr>
        <w:t>T1D</w:t>
      </w:r>
      <w:r w:rsidRPr="00EF03DB">
        <w:rPr>
          <w:rFonts w:ascii="Times New Roman" w:hAnsi="Times New Roman" w:cs="Times New Roman"/>
        </w:rPr>
        <w:t xml:space="preserve"> and their carers perceive unmet needs in support for DKA prevention and management, while healthcare professionals identify important knowledge gaps related to diabetes technologies. Addressing these issues through targeted education, improved clinical pathways, and strengthened communication across the care continuum may enhance early recognition and management of DKA</w:t>
      </w:r>
      <w:r w:rsidR="001A0F2F">
        <w:rPr>
          <w:rFonts w:ascii="Times New Roman" w:hAnsi="Times New Roman" w:cs="Times New Roman"/>
        </w:rPr>
        <w:t>,</w:t>
      </w:r>
      <w:r w:rsidRPr="00EF03DB">
        <w:rPr>
          <w:rFonts w:ascii="Times New Roman" w:hAnsi="Times New Roman" w:cs="Times New Roman"/>
        </w:rPr>
        <w:t xml:space="preserve"> and reduce preventable acute presentations</w:t>
      </w:r>
      <w:bookmarkEnd w:id="0"/>
      <w:r w:rsidR="00357B81">
        <w:rPr>
          <w:rFonts w:ascii="Times New Roman" w:hAnsi="Times New Roman" w:cs="Times New Roman"/>
        </w:rPr>
        <w:t>.</w:t>
      </w:r>
    </w:p>
    <w:sectPr w:rsidR="009F5DB5" w:rsidRPr="00357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B5"/>
    <w:rsid w:val="00121EA8"/>
    <w:rsid w:val="001A0F2F"/>
    <w:rsid w:val="00357B81"/>
    <w:rsid w:val="005D0A19"/>
    <w:rsid w:val="0060582D"/>
    <w:rsid w:val="00611147"/>
    <w:rsid w:val="0063387A"/>
    <w:rsid w:val="00687169"/>
    <w:rsid w:val="006B5F9E"/>
    <w:rsid w:val="006B6FE9"/>
    <w:rsid w:val="007015C4"/>
    <w:rsid w:val="00737D59"/>
    <w:rsid w:val="007C69A6"/>
    <w:rsid w:val="0084011D"/>
    <w:rsid w:val="00885A76"/>
    <w:rsid w:val="008B24E8"/>
    <w:rsid w:val="008C14F3"/>
    <w:rsid w:val="00900B38"/>
    <w:rsid w:val="00952CCE"/>
    <w:rsid w:val="009F5DB5"/>
    <w:rsid w:val="00A54EBF"/>
    <w:rsid w:val="00B42FF1"/>
    <w:rsid w:val="00C16AA7"/>
    <w:rsid w:val="00CC1349"/>
    <w:rsid w:val="00D8018E"/>
    <w:rsid w:val="00D9359E"/>
    <w:rsid w:val="00EC3EA8"/>
    <w:rsid w:val="00E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1E9D"/>
  <w15:chartTrackingRefBased/>
  <w15:docId w15:val="{62032681-1E52-439D-A502-641EAE01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B5"/>
  </w:style>
  <w:style w:type="paragraph" w:styleId="Heading1">
    <w:name w:val="heading 1"/>
    <w:basedOn w:val="Normal"/>
    <w:next w:val="Normal"/>
    <w:link w:val="Heading1Char"/>
    <w:uiPriority w:val="9"/>
    <w:qFormat/>
    <w:rsid w:val="009F5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B5"/>
    <w:rPr>
      <w:rFonts w:eastAsiaTheme="majorEastAsia" w:cstheme="majorBidi"/>
      <w:color w:val="272727" w:themeColor="text1" w:themeTint="D8"/>
    </w:rPr>
  </w:style>
  <w:style w:type="paragraph" w:styleId="Title">
    <w:name w:val="Title"/>
    <w:basedOn w:val="Normal"/>
    <w:next w:val="Normal"/>
    <w:link w:val="TitleChar"/>
    <w:uiPriority w:val="10"/>
    <w:qFormat/>
    <w:rsid w:val="009F5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B5"/>
    <w:pPr>
      <w:spacing w:before="160"/>
      <w:jc w:val="center"/>
    </w:pPr>
    <w:rPr>
      <w:i/>
      <w:iCs/>
      <w:color w:val="404040" w:themeColor="text1" w:themeTint="BF"/>
    </w:rPr>
  </w:style>
  <w:style w:type="character" w:customStyle="1" w:styleId="QuoteChar">
    <w:name w:val="Quote Char"/>
    <w:basedOn w:val="DefaultParagraphFont"/>
    <w:link w:val="Quote"/>
    <w:uiPriority w:val="29"/>
    <w:rsid w:val="009F5DB5"/>
    <w:rPr>
      <w:i/>
      <w:iCs/>
      <w:color w:val="404040" w:themeColor="text1" w:themeTint="BF"/>
    </w:rPr>
  </w:style>
  <w:style w:type="paragraph" w:styleId="ListParagraph">
    <w:name w:val="List Paragraph"/>
    <w:basedOn w:val="Normal"/>
    <w:uiPriority w:val="34"/>
    <w:qFormat/>
    <w:rsid w:val="009F5DB5"/>
    <w:pPr>
      <w:ind w:left="720"/>
      <w:contextualSpacing/>
    </w:pPr>
  </w:style>
  <w:style w:type="character" w:styleId="IntenseEmphasis">
    <w:name w:val="Intense Emphasis"/>
    <w:basedOn w:val="DefaultParagraphFont"/>
    <w:uiPriority w:val="21"/>
    <w:qFormat/>
    <w:rsid w:val="009F5DB5"/>
    <w:rPr>
      <w:i/>
      <w:iCs/>
      <w:color w:val="0F4761" w:themeColor="accent1" w:themeShade="BF"/>
    </w:rPr>
  </w:style>
  <w:style w:type="paragraph" w:styleId="IntenseQuote">
    <w:name w:val="Intense Quote"/>
    <w:basedOn w:val="Normal"/>
    <w:next w:val="Normal"/>
    <w:link w:val="IntenseQuoteChar"/>
    <w:uiPriority w:val="30"/>
    <w:qFormat/>
    <w:rsid w:val="009F5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B5"/>
    <w:rPr>
      <w:i/>
      <w:iCs/>
      <w:color w:val="0F4761" w:themeColor="accent1" w:themeShade="BF"/>
    </w:rPr>
  </w:style>
  <w:style w:type="character" w:styleId="IntenseReference">
    <w:name w:val="Intense Reference"/>
    <w:basedOn w:val="DefaultParagraphFont"/>
    <w:uiPriority w:val="32"/>
    <w:qFormat/>
    <w:rsid w:val="009F5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330</Words>
  <Characters>2066</Characters>
  <Application>Microsoft Office Word</Application>
  <DocSecurity>0</DocSecurity>
  <Lines>34</Lines>
  <Paragraphs>14</Paragraphs>
  <ScaleCrop>false</ScaleCrop>
  <Company>University of the Sunshine Coast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James</dc:creator>
  <cp:keywords/>
  <dc:description/>
  <cp:lastModifiedBy>Steven James</cp:lastModifiedBy>
  <cp:revision>24</cp:revision>
  <dcterms:created xsi:type="dcterms:W3CDTF">2026-01-20T21:33:00Z</dcterms:created>
  <dcterms:modified xsi:type="dcterms:W3CDTF">2026-03-06T05:36:00Z</dcterms:modified>
</cp:coreProperties>
</file>