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60342A" w14:paraId="5C38377B" w14:textId="77777777" w:rsidTr="000A28E2">
        <w:trPr>
          <w:jc w:val="center"/>
        </w:trPr>
        <w:tc>
          <w:tcPr>
            <w:tcW w:w="8640" w:type="dxa"/>
            <w:shd w:val="clear" w:color="auto" w:fill="auto"/>
          </w:tcPr>
          <w:p w14:paraId="5C44F357" w14:textId="34A1D83D" w:rsidR="001564A4" w:rsidRPr="0060342A" w:rsidRDefault="0060342A" w:rsidP="0060342A">
            <w:pPr>
              <w:pStyle w:val="NormalWeb"/>
              <w:rPr>
                <w:rFonts w:ascii="Arial" w:hAnsi="Arial" w:cs="Arial"/>
                <w:b/>
                <w:bCs/>
                <w:color w:val="000000"/>
                <w:sz w:val="22"/>
                <w:szCs w:val="22"/>
              </w:rPr>
            </w:pPr>
            <w:r w:rsidRPr="0060342A">
              <w:rPr>
                <w:rFonts w:ascii="Arial" w:hAnsi="Arial" w:cs="Arial"/>
                <w:b/>
                <w:bCs/>
                <w:color w:val="000000"/>
                <w:sz w:val="22"/>
                <w:szCs w:val="22"/>
              </w:rPr>
              <w:t>Hypercalcaemia in the Presence of Granulomatous Pneumonitis: A Challenging Diagnostic Case</w:t>
            </w:r>
          </w:p>
        </w:tc>
      </w:tr>
      <w:tr w:rsidR="001564A4" w:rsidRPr="0060342A" w14:paraId="0E2E035C" w14:textId="77777777" w:rsidTr="000A28E2">
        <w:trPr>
          <w:jc w:val="center"/>
        </w:trPr>
        <w:tc>
          <w:tcPr>
            <w:tcW w:w="8640" w:type="dxa"/>
            <w:shd w:val="clear" w:color="auto" w:fill="auto"/>
          </w:tcPr>
          <w:p w14:paraId="73B55295" w14:textId="7A9349F9" w:rsidR="001564A4" w:rsidRPr="0060342A" w:rsidRDefault="0060342A" w:rsidP="000A28E2">
            <w:pPr>
              <w:spacing w:before="120" w:after="120"/>
              <w:rPr>
                <w:rFonts w:ascii="Arial" w:hAnsi="Arial" w:cs="Arial"/>
                <w:sz w:val="22"/>
                <w:szCs w:val="22"/>
                <w:u w:val="single"/>
                <w:lang w:eastAsia="zh-CN"/>
              </w:rPr>
            </w:pPr>
            <w:r w:rsidRPr="0060342A">
              <w:rPr>
                <w:rFonts w:ascii="Arial" w:hAnsi="Arial" w:cs="Arial"/>
                <w:sz w:val="22"/>
                <w:szCs w:val="22"/>
                <w:lang w:val="en-US" w:eastAsia="en-GB"/>
              </w:rPr>
              <w:t>Dr Anindita Dey</w:t>
            </w:r>
            <w:r w:rsidR="001564A4" w:rsidRPr="0060342A">
              <w:rPr>
                <w:rFonts w:ascii="Arial" w:hAnsi="Arial" w:cs="Arial"/>
                <w:sz w:val="22"/>
                <w:szCs w:val="22"/>
                <w:vertAlign w:val="superscript"/>
                <w:lang w:val="en-US" w:eastAsia="en-GB"/>
              </w:rPr>
              <w:t>1</w:t>
            </w:r>
            <w:bookmarkStart w:id="0" w:name="Text8"/>
            <w:r w:rsidR="001564A4" w:rsidRPr="0060342A">
              <w:rPr>
                <w:rFonts w:ascii="Arial" w:hAnsi="Arial" w:cs="Arial"/>
                <w:sz w:val="22"/>
                <w:szCs w:val="22"/>
                <w:lang w:val="en-US" w:eastAsia="en-GB"/>
              </w:rPr>
              <w:t>,</w:t>
            </w:r>
            <w:bookmarkEnd w:id="0"/>
            <w:r>
              <w:rPr>
                <w:rFonts w:ascii="Arial" w:hAnsi="Arial" w:cs="Arial"/>
                <w:sz w:val="22"/>
                <w:szCs w:val="22"/>
                <w:lang w:val="en-US" w:eastAsia="en-GB"/>
              </w:rPr>
              <w:t xml:space="preserve"> </w:t>
            </w:r>
            <w:r w:rsidRPr="0060342A">
              <w:rPr>
                <w:rFonts w:ascii="Arial" w:hAnsi="Arial" w:cs="Arial"/>
                <w:sz w:val="22"/>
                <w:szCs w:val="22"/>
                <w:lang w:val="en-US" w:eastAsia="en-GB"/>
              </w:rPr>
              <w:t>Dr Greg Burke</w:t>
            </w:r>
          </w:p>
        </w:tc>
      </w:tr>
      <w:tr w:rsidR="001564A4" w:rsidRPr="0060342A" w14:paraId="385A19D9" w14:textId="77777777" w:rsidTr="000A28E2">
        <w:trPr>
          <w:trHeight w:val="136"/>
          <w:jc w:val="center"/>
        </w:trPr>
        <w:tc>
          <w:tcPr>
            <w:tcW w:w="8640" w:type="dxa"/>
            <w:shd w:val="clear" w:color="auto" w:fill="auto"/>
          </w:tcPr>
          <w:p w14:paraId="45ED36BF" w14:textId="2B043604" w:rsidR="001564A4" w:rsidRPr="0060342A" w:rsidRDefault="001564A4" w:rsidP="000A28E2">
            <w:pPr>
              <w:spacing w:before="120" w:after="120"/>
              <w:rPr>
                <w:rFonts w:ascii="Arial" w:hAnsi="Arial" w:cs="Arial"/>
                <w:i/>
                <w:sz w:val="22"/>
                <w:szCs w:val="22"/>
                <w:lang w:val="en-US" w:eastAsia="en-GB"/>
              </w:rPr>
            </w:pPr>
            <w:r w:rsidRPr="0060342A">
              <w:rPr>
                <w:rFonts w:ascii="Arial" w:hAnsi="Arial" w:cs="Arial"/>
                <w:i/>
                <w:sz w:val="22"/>
                <w:szCs w:val="22"/>
                <w:vertAlign w:val="superscript"/>
                <w:lang w:val="en-US" w:eastAsia="en-GB"/>
              </w:rPr>
              <w:t>1</w:t>
            </w:r>
            <w:r w:rsidR="0060342A" w:rsidRPr="0060342A">
              <w:rPr>
                <w:rFonts w:ascii="Arial" w:hAnsi="Arial" w:cs="Arial"/>
                <w:i/>
                <w:sz w:val="22"/>
                <w:szCs w:val="22"/>
                <w:lang w:val="en-US" w:eastAsia="en-GB"/>
              </w:rPr>
              <w:t>Shoalhaven District Memorial Hospital</w:t>
            </w:r>
          </w:p>
        </w:tc>
      </w:tr>
      <w:tr w:rsidR="001564A4" w:rsidRPr="0060342A" w14:paraId="6DAF615A" w14:textId="77777777" w:rsidTr="0060342A">
        <w:trPr>
          <w:trHeight w:hRule="exact" w:val="10691"/>
          <w:jc w:val="center"/>
        </w:trPr>
        <w:tc>
          <w:tcPr>
            <w:tcW w:w="8640" w:type="dxa"/>
            <w:shd w:val="clear" w:color="auto" w:fill="auto"/>
          </w:tcPr>
          <w:p w14:paraId="76A840AD" w14:textId="77777777" w:rsidR="0060342A" w:rsidRDefault="001564A4" w:rsidP="0060342A">
            <w:pPr>
              <w:pStyle w:val="Pa12"/>
              <w:rPr>
                <w:rStyle w:val="A4"/>
                <w:b/>
                <w:bCs/>
              </w:rPr>
            </w:pPr>
            <w:r w:rsidRPr="0060342A">
              <w:rPr>
                <w:rStyle w:val="A4"/>
                <w:b/>
                <w:bCs/>
              </w:rPr>
              <w:t xml:space="preserve">Introduction/Aim: </w:t>
            </w:r>
          </w:p>
          <w:p w14:paraId="3D770CF7" w14:textId="5DA3F985" w:rsidR="001564A4" w:rsidRDefault="0060342A" w:rsidP="0060342A">
            <w:pPr>
              <w:pStyle w:val="Pa12"/>
              <w:rPr>
                <w:color w:val="000000"/>
                <w:sz w:val="22"/>
                <w:szCs w:val="22"/>
              </w:rPr>
            </w:pPr>
            <w:r w:rsidRPr="0060342A">
              <w:rPr>
                <w:sz w:val="22"/>
                <w:szCs w:val="22"/>
              </w:rPr>
              <w:t xml:space="preserve">Hypercalcaemia can result due to various aetiologies, including hyperparathyroidism, malignancy, thyrotoxicosis, vitamin D toxicity. Granulomatous inflammation is a recognised cause of hypercalcaemia, due to increased conversion of 25 hydroxycholecalciferol to 1,25 </w:t>
            </w:r>
            <w:proofErr w:type="gramStart"/>
            <w:r w:rsidRPr="0060342A">
              <w:rPr>
                <w:sz w:val="22"/>
                <w:szCs w:val="22"/>
              </w:rPr>
              <w:t>dihydroxycholecalciferol</w:t>
            </w:r>
            <w:proofErr w:type="gramEnd"/>
            <w:r w:rsidRPr="0060342A">
              <w:rPr>
                <w:sz w:val="22"/>
                <w:szCs w:val="22"/>
              </w:rPr>
              <w:t xml:space="preserve">. </w:t>
            </w:r>
            <w:r w:rsidRPr="0060342A">
              <w:rPr>
                <w:color w:val="000000"/>
                <w:sz w:val="22"/>
                <w:szCs w:val="22"/>
              </w:rPr>
              <w:t xml:space="preserve">We present a case of an 84-year-old immunosuppressed woman with symptomatic severe hypercalcaemia which was a diagnostic dilemma. </w:t>
            </w:r>
            <w:r w:rsidRPr="0060342A">
              <w:rPr>
                <w:sz w:val="22"/>
                <w:szCs w:val="22"/>
              </w:rPr>
              <w:t xml:space="preserve">She had a background of connective tissue disease treated with methotrexate and hydroxychloroquine, chronic kidney disease, atrial fibrillation, cardiac failure and hypothyroidism, and prior colonic adenocarcinoma, </w:t>
            </w:r>
            <w:r w:rsidRPr="0060342A">
              <w:rPr>
                <w:color w:val="000000"/>
                <w:sz w:val="22"/>
                <w:szCs w:val="22"/>
              </w:rPr>
              <w:t>The aim is to highlight the diagnostic challenges posed by this rare presentation and underscore the importance of early recognition and management</w:t>
            </w:r>
            <w:r w:rsidRPr="0060342A">
              <w:rPr>
                <w:color w:val="000000"/>
                <w:sz w:val="22"/>
                <w:szCs w:val="22"/>
              </w:rPr>
              <w:t>.</w:t>
            </w:r>
          </w:p>
          <w:p w14:paraId="5CD88A37" w14:textId="77777777" w:rsidR="0060342A" w:rsidRPr="0060342A" w:rsidRDefault="0060342A" w:rsidP="0060342A">
            <w:pPr>
              <w:pStyle w:val="Default"/>
            </w:pPr>
          </w:p>
          <w:p w14:paraId="1B39336E" w14:textId="77777777" w:rsidR="001564A4" w:rsidRPr="0060342A" w:rsidRDefault="001564A4" w:rsidP="000A28E2">
            <w:pPr>
              <w:pStyle w:val="Pa12"/>
              <w:rPr>
                <w:rStyle w:val="A4"/>
                <w:b/>
                <w:bCs/>
              </w:rPr>
            </w:pPr>
            <w:r w:rsidRPr="0060342A">
              <w:rPr>
                <w:rStyle w:val="A4"/>
                <w:b/>
                <w:bCs/>
              </w:rPr>
              <w:t xml:space="preserve">Methods: </w:t>
            </w:r>
          </w:p>
          <w:p w14:paraId="5029BAE6" w14:textId="10AA83DD" w:rsidR="001564A4" w:rsidRPr="0060342A" w:rsidRDefault="0060342A" w:rsidP="000A28E2">
            <w:pPr>
              <w:pStyle w:val="Pa12"/>
              <w:rPr>
                <w:rStyle w:val="A4"/>
                <w:color w:val="auto"/>
              </w:rPr>
            </w:pPr>
            <w:r w:rsidRPr="0060342A">
              <w:rPr>
                <w:color w:val="000000"/>
                <w:sz w:val="22"/>
                <w:szCs w:val="22"/>
              </w:rPr>
              <w:t xml:space="preserve">Comprehensive investigations were conducted to rule out common causes of hypercalcaemia, including thyroid and parathyroid diseases, malignancy, and myeloma. </w:t>
            </w:r>
            <w:r w:rsidRPr="0060342A">
              <w:rPr>
                <w:sz w:val="22"/>
                <w:szCs w:val="22"/>
              </w:rPr>
              <w:t>Despite a clear chest radiograph on presentation, CT scan revealed diffuse alveolar opacities. A significantly high level of 1,25 dihydroxycholecalciferol</w:t>
            </w:r>
            <w:r w:rsidRPr="0060342A">
              <w:rPr>
                <w:color w:val="000000"/>
                <w:sz w:val="22"/>
                <w:szCs w:val="22"/>
              </w:rPr>
              <w:t xml:space="preserve"> level was noted. Management of hypercalcaemia was complicated due to cardiac failure and renal impairment.</w:t>
            </w:r>
            <w:r w:rsidR="001564A4" w:rsidRPr="0060342A">
              <w:rPr>
                <w:sz w:val="22"/>
                <w:szCs w:val="22"/>
              </w:rPr>
              <w:br/>
            </w:r>
          </w:p>
          <w:p w14:paraId="6BF3F094" w14:textId="77777777" w:rsidR="001564A4" w:rsidRPr="0060342A" w:rsidRDefault="001564A4" w:rsidP="000A28E2">
            <w:pPr>
              <w:pStyle w:val="Pa12"/>
              <w:rPr>
                <w:rStyle w:val="A4"/>
                <w:b/>
                <w:bCs/>
              </w:rPr>
            </w:pPr>
            <w:r w:rsidRPr="0060342A">
              <w:rPr>
                <w:rStyle w:val="A4"/>
                <w:b/>
                <w:bCs/>
              </w:rPr>
              <w:t xml:space="preserve">Results: </w:t>
            </w:r>
          </w:p>
          <w:p w14:paraId="0861549B" w14:textId="3B1D2BC1" w:rsidR="001564A4" w:rsidRPr="0060342A" w:rsidRDefault="0060342A" w:rsidP="000A28E2">
            <w:pPr>
              <w:pStyle w:val="Pa12"/>
              <w:rPr>
                <w:sz w:val="22"/>
                <w:szCs w:val="22"/>
              </w:rPr>
            </w:pPr>
            <w:r w:rsidRPr="0060342A">
              <w:rPr>
                <w:color w:val="000000"/>
                <w:sz w:val="22"/>
                <w:szCs w:val="22"/>
              </w:rPr>
              <w:t xml:space="preserve">The diagnosis was granulomatous pneumonitis, potentially caused by methotrexate, or possibly pneumocystis </w:t>
            </w:r>
            <w:proofErr w:type="spellStart"/>
            <w:r w:rsidRPr="0060342A">
              <w:rPr>
                <w:color w:val="000000"/>
                <w:sz w:val="22"/>
                <w:szCs w:val="22"/>
              </w:rPr>
              <w:t>jirovecii</w:t>
            </w:r>
            <w:proofErr w:type="spellEnd"/>
            <w:r w:rsidRPr="0060342A">
              <w:rPr>
                <w:color w:val="000000"/>
                <w:sz w:val="22"/>
                <w:szCs w:val="22"/>
              </w:rPr>
              <w:t xml:space="preserve"> pneumonia. Treatment with prednisolone and sulfamethoxazole-trimethoprim yielded a </w:t>
            </w:r>
            <w:proofErr w:type="spellStart"/>
            <w:r w:rsidRPr="0060342A">
              <w:rPr>
                <w:color w:val="000000"/>
                <w:sz w:val="22"/>
                <w:szCs w:val="22"/>
              </w:rPr>
              <w:t>favorable</w:t>
            </w:r>
            <w:proofErr w:type="spellEnd"/>
            <w:r w:rsidRPr="0060342A">
              <w:rPr>
                <w:color w:val="000000"/>
                <w:sz w:val="22"/>
                <w:szCs w:val="22"/>
              </w:rPr>
              <w:t xml:space="preserve"> response, resolving both the pneumonitis and hypercalcaemia.</w:t>
            </w:r>
            <w:r w:rsidR="001564A4" w:rsidRPr="0060342A">
              <w:rPr>
                <w:sz w:val="22"/>
                <w:szCs w:val="22"/>
              </w:rPr>
              <w:br/>
            </w:r>
          </w:p>
          <w:p w14:paraId="1B1484C4" w14:textId="77777777" w:rsidR="0060342A" w:rsidRPr="0060342A" w:rsidRDefault="001564A4" w:rsidP="0060342A">
            <w:pPr>
              <w:rPr>
                <w:rFonts w:ascii="Arial" w:hAnsi="Arial" w:cs="Arial"/>
                <w:sz w:val="22"/>
                <w:szCs w:val="22"/>
              </w:rPr>
            </w:pPr>
            <w:r w:rsidRPr="0060342A">
              <w:rPr>
                <w:rStyle w:val="A4"/>
                <w:rFonts w:ascii="Arial" w:hAnsi="Arial" w:cs="Arial"/>
                <w:b/>
                <w:bCs/>
              </w:rPr>
              <w:t xml:space="preserve">Conclusion: </w:t>
            </w:r>
            <w:r w:rsidR="0060342A" w:rsidRPr="0060342A">
              <w:rPr>
                <w:rFonts w:ascii="Arial" w:hAnsi="Arial" w:cs="Arial"/>
                <w:color w:val="000000"/>
                <w:sz w:val="22"/>
                <w:szCs w:val="22"/>
              </w:rPr>
              <w:t>This case emphasizes the association between hypercalcaemia and granulomatous lung inflammation, illustrating the need for timely recognition and appropriate treatment. It also highlights the importance of considering alternative causes of granulomatous lung inflammation besides sarcoid as potential cause of hypercalcaemia.</w:t>
            </w:r>
            <w:r w:rsidR="0060342A" w:rsidRPr="0060342A">
              <w:rPr>
                <w:rFonts w:ascii="Arial" w:hAnsi="Arial" w:cs="Arial"/>
                <w:sz w:val="22"/>
                <w:szCs w:val="22"/>
              </w:rPr>
              <w:t xml:space="preserve"> Timely diagnosis and appropriate treatment are essential for optimal outcome. </w:t>
            </w:r>
          </w:p>
          <w:p w14:paraId="196E7BAC" w14:textId="645FB76F" w:rsidR="001564A4" w:rsidRPr="0060342A" w:rsidRDefault="001564A4" w:rsidP="000A28E2">
            <w:pPr>
              <w:pStyle w:val="Pa12"/>
              <w:rPr>
                <w:rStyle w:val="A4"/>
                <w:color w:val="auto"/>
              </w:rPr>
            </w:pPr>
            <w:r w:rsidRPr="0060342A">
              <w:rPr>
                <w:rStyle w:val="A4"/>
                <w:bCs/>
              </w:rPr>
              <w:br/>
            </w:r>
          </w:p>
          <w:p w14:paraId="3E8B4283" w14:textId="77777777" w:rsidR="001564A4" w:rsidRPr="0060342A" w:rsidRDefault="001564A4" w:rsidP="000A28E2">
            <w:pPr>
              <w:pStyle w:val="Pa12"/>
              <w:rPr>
                <w:rStyle w:val="A4"/>
                <w:b/>
                <w:bCs/>
              </w:rPr>
            </w:pPr>
            <w:r w:rsidRPr="0060342A">
              <w:rPr>
                <w:rStyle w:val="A4"/>
                <w:b/>
                <w:bCs/>
              </w:rPr>
              <w:t xml:space="preserve">Grant Support: </w:t>
            </w:r>
          </w:p>
          <w:p w14:paraId="3C0CCA2E" w14:textId="77777777" w:rsidR="0060342A" w:rsidRPr="0060342A" w:rsidRDefault="0060342A" w:rsidP="000A28E2">
            <w:pPr>
              <w:pStyle w:val="Pa12"/>
              <w:rPr>
                <w:sz w:val="22"/>
                <w:szCs w:val="22"/>
              </w:rPr>
            </w:pPr>
            <w:r w:rsidRPr="0060342A">
              <w:rPr>
                <w:sz w:val="22"/>
                <w:szCs w:val="22"/>
              </w:rPr>
              <w:t>(Not Applicable)</w:t>
            </w:r>
          </w:p>
          <w:p w14:paraId="29337AFD" w14:textId="77777777" w:rsidR="0060342A" w:rsidRPr="0060342A" w:rsidRDefault="0060342A" w:rsidP="000A28E2">
            <w:pPr>
              <w:pStyle w:val="Pa12"/>
              <w:rPr>
                <w:sz w:val="22"/>
                <w:szCs w:val="22"/>
              </w:rPr>
            </w:pPr>
          </w:p>
          <w:p w14:paraId="61F2E77F" w14:textId="77777777" w:rsidR="0060342A" w:rsidRPr="0060342A" w:rsidRDefault="0060342A" w:rsidP="000A28E2">
            <w:pPr>
              <w:pStyle w:val="Pa12"/>
              <w:rPr>
                <w:sz w:val="22"/>
                <w:szCs w:val="22"/>
              </w:rPr>
            </w:pPr>
          </w:p>
          <w:p w14:paraId="0B161623" w14:textId="77777777" w:rsidR="0060342A" w:rsidRPr="0060342A" w:rsidRDefault="0060342A" w:rsidP="0060342A">
            <w:pPr>
              <w:rPr>
                <w:rFonts w:ascii="Arial" w:hAnsi="Arial" w:cs="Arial"/>
                <w:sz w:val="22"/>
                <w:szCs w:val="22"/>
              </w:rPr>
            </w:pPr>
            <w:r w:rsidRPr="0060342A">
              <w:rPr>
                <w:rFonts w:ascii="Arial" w:hAnsi="Arial" w:cs="Arial"/>
                <w:b/>
                <w:bCs/>
                <w:sz w:val="22"/>
                <w:szCs w:val="22"/>
              </w:rPr>
              <w:t>Declaration of Interest:</w:t>
            </w:r>
            <w:r w:rsidRPr="0060342A">
              <w:rPr>
                <w:rFonts w:ascii="Arial" w:hAnsi="Arial" w:cs="Arial"/>
                <w:sz w:val="22"/>
                <w:szCs w:val="22"/>
              </w:rPr>
              <w:t xml:space="preserve"> The authors declare no conflicts of interest related to this research.</w:t>
            </w:r>
          </w:p>
          <w:p w14:paraId="7F8381F0" w14:textId="3701FA7A" w:rsidR="001564A4" w:rsidRPr="0060342A" w:rsidRDefault="001564A4" w:rsidP="000A28E2">
            <w:pPr>
              <w:pStyle w:val="Pa12"/>
              <w:rPr>
                <w:sz w:val="22"/>
                <w:szCs w:val="22"/>
              </w:rPr>
            </w:pPr>
            <w:r w:rsidRPr="0060342A">
              <w:rPr>
                <w:sz w:val="22"/>
                <w:szCs w:val="22"/>
              </w:rPr>
              <w:br/>
            </w:r>
            <w:r w:rsidRPr="0060342A">
              <w:rPr>
                <w:sz w:val="22"/>
                <w:szCs w:val="22"/>
              </w:rPr>
              <w:br/>
            </w:r>
            <w:r w:rsidRPr="0060342A">
              <w:rPr>
                <w:sz w:val="22"/>
                <w:szCs w:val="22"/>
              </w:rPr>
              <w:br/>
            </w:r>
            <w:r w:rsidRPr="0060342A">
              <w:rPr>
                <w:sz w:val="22"/>
                <w:szCs w:val="22"/>
              </w:rPr>
              <w:br/>
            </w:r>
            <w:r w:rsidRPr="0060342A">
              <w:rPr>
                <w:sz w:val="22"/>
                <w:szCs w:val="22"/>
              </w:rPr>
              <w:br/>
            </w:r>
            <w:r w:rsidRPr="0060342A">
              <w:rPr>
                <w:sz w:val="22"/>
                <w:szCs w:val="22"/>
              </w:rPr>
              <w:br/>
            </w:r>
            <w:r w:rsidRPr="0060342A">
              <w:rPr>
                <w:sz w:val="22"/>
                <w:szCs w:val="22"/>
              </w:rPr>
              <w:br/>
            </w:r>
            <w:r w:rsidRPr="0060342A">
              <w:rPr>
                <w:sz w:val="22"/>
                <w:szCs w:val="22"/>
              </w:rPr>
              <w:br/>
            </w:r>
            <w:r w:rsidRPr="0060342A">
              <w:rPr>
                <w:sz w:val="22"/>
                <w:szCs w:val="22"/>
              </w:rPr>
              <w:br/>
            </w:r>
            <w:r w:rsidRPr="0060342A">
              <w:rPr>
                <w:sz w:val="22"/>
                <w:szCs w:val="22"/>
              </w:rPr>
              <w:br/>
            </w:r>
            <w:r w:rsidRPr="0060342A">
              <w:rPr>
                <w:sz w:val="22"/>
                <w:szCs w:val="22"/>
              </w:rPr>
              <w:br/>
            </w:r>
          </w:p>
          <w:p w14:paraId="731CD908" w14:textId="77777777" w:rsidR="001564A4" w:rsidRPr="0060342A" w:rsidRDefault="001564A4" w:rsidP="000A28E2">
            <w:pPr>
              <w:pStyle w:val="Default"/>
              <w:rPr>
                <w:sz w:val="22"/>
                <w:szCs w:val="22"/>
              </w:rPr>
            </w:pPr>
          </w:p>
          <w:p w14:paraId="34BF0A0F" w14:textId="77777777" w:rsidR="001564A4" w:rsidRPr="0060342A" w:rsidRDefault="001564A4" w:rsidP="000A28E2">
            <w:pPr>
              <w:pStyle w:val="Default"/>
              <w:rPr>
                <w:sz w:val="22"/>
                <w:szCs w:val="22"/>
              </w:rPr>
            </w:pPr>
          </w:p>
          <w:p w14:paraId="1FF1A88F" w14:textId="77777777" w:rsidR="001564A4" w:rsidRPr="0060342A" w:rsidRDefault="001564A4" w:rsidP="000A28E2">
            <w:pPr>
              <w:pStyle w:val="Pa12"/>
              <w:rPr>
                <w:rStyle w:val="A4"/>
                <w:bCs/>
              </w:rPr>
            </w:pPr>
            <w:r w:rsidRPr="0060342A">
              <w:rPr>
                <w:rStyle w:val="A4"/>
                <w:bCs/>
              </w:rPr>
              <w:br/>
            </w:r>
            <w:r w:rsidRPr="0060342A">
              <w:rPr>
                <w:rStyle w:val="A4"/>
                <w:bCs/>
              </w:rPr>
              <w:br/>
            </w:r>
            <w:r w:rsidRPr="0060342A">
              <w:rPr>
                <w:rStyle w:val="A4"/>
                <w:bCs/>
              </w:rPr>
              <w:br/>
            </w:r>
            <w:r w:rsidRPr="0060342A">
              <w:rPr>
                <w:rStyle w:val="A4"/>
                <w:bCs/>
              </w:rPr>
              <w:br/>
            </w:r>
            <w:r w:rsidRPr="0060342A">
              <w:rPr>
                <w:rStyle w:val="A4"/>
                <w:bCs/>
              </w:rPr>
              <w:br/>
            </w:r>
            <w:r w:rsidRPr="0060342A">
              <w:rPr>
                <w:rStyle w:val="A4"/>
                <w:bCs/>
              </w:rPr>
              <w:br/>
            </w:r>
            <w:r w:rsidRPr="0060342A">
              <w:rPr>
                <w:rStyle w:val="A4"/>
                <w:bCs/>
              </w:rPr>
              <w:br/>
            </w:r>
            <w:r w:rsidRPr="0060342A">
              <w:rPr>
                <w:rStyle w:val="A4"/>
                <w:bCs/>
              </w:rPr>
              <w:br/>
            </w:r>
            <w:r w:rsidRPr="0060342A">
              <w:rPr>
                <w:rStyle w:val="A4"/>
                <w:bCs/>
              </w:rPr>
              <w:br/>
            </w:r>
            <w:r w:rsidRPr="0060342A">
              <w:rPr>
                <w:rStyle w:val="A4"/>
                <w:bCs/>
              </w:rPr>
              <w:br/>
            </w:r>
            <w:r w:rsidRPr="0060342A">
              <w:rPr>
                <w:rStyle w:val="A4"/>
                <w:bCs/>
              </w:rPr>
              <w:br/>
            </w:r>
          </w:p>
          <w:p w14:paraId="14DC37E4" w14:textId="77777777" w:rsidR="001564A4" w:rsidRPr="0060342A" w:rsidRDefault="001564A4" w:rsidP="000A28E2">
            <w:pPr>
              <w:pStyle w:val="Default"/>
              <w:rPr>
                <w:rStyle w:val="A4"/>
                <w:bCs/>
              </w:rPr>
            </w:pPr>
          </w:p>
          <w:p w14:paraId="5F58D34F" w14:textId="77777777" w:rsidR="001564A4" w:rsidRPr="0060342A" w:rsidRDefault="001564A4" w:rsidP="000A28E2">
            <w:pPr>
              <w:pStyle w:val="Default"/>
              <w:rPr>
                <w:sz w:val="22"/>
                <w:szCs w:val="22"/>
                <w:lang w:val="en-US" w:eastAsia="en-GB"/>
              </w:rPr>
            </w:pP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r w:rsidRPr="0060342A">
              <w:rPr>
                <w:sz w:val="22"/>
                <w:szCs w:val="22"/>
                <w:lang w:val="en-US" w:eastAsia="en-GB"/>
              </w:rPr>
              <w:br/>
            </w:r>
          </w:p>
        </w:tc>
      </w:tr>
    </w:tbl>
    <w:p w14:paraId="7C36A9DC" w14:textId="32A70617" w:rsidR="00E0700F" w:rsidRPr="0060342A" w:rsidRDefault="00E0700F" w:rsidP="001564A4">
      <w:pPr>
        <w:rPr>
          <w:rFonts w:ascii="Arial" w:hAnsi="Arial" w:cs="Arial"/>
          <w:sz w:val="22"/>
          <w:szCs w:val="22"/>
        </w:rPr>
      </w:pPr>
    </w:p>
    <w:sectPr w:rsidR="00E0700F" w:rsidRPr="006034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45511C"/>
    <w:rsid w:val="0051574E"/>
    <w:rsid w:val="0060342A"/>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60342A"/>
    <w:pPr>
      <w:spacing w:before="100" w:beforeAutospacing="1" w:after="100" w:afterAutospacing="1"/>
    </w:pPr>
    <w:rPr>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adey9528@gmail.com</cp:lastModifiedBy>
  <cp:revision>2</cp:revision>
  <dcterms:created xsi:type="dcterms:W3CDTF">2023-10-23T03:13:00Z</dcterms:created>
  <dcterms:modified xsi:type="dcterms:W3CDTF">2023-10-23T03:13:00Z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