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564A4" w:rsidRPr="001B0CDA" w14:paraId="5C38377B" w14:textId="77777777" w:rsidTr="005878AF">
        <w:trPr>
          <w:trHeight w:val="584"/>
          <w:jc w:val="center"/>
        </w:trPr>
        <w:tc>
          <w:tcPr>
            <w:tcW w:w="5000" w:type="pct"/>
            <w:shd w:val="clear" w:color="auto" w:fill="auto"/>
          </w:tcPr>
          <w:p w14:paraId="5C44F357" w14:textId="30226CF0" w:rsidR="001564A4" w:rsidRPr="001B0CDA" w:rsidRDefault="00D71B5C" w:rsidP="005878AF">
            <w:p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commentRangeStart w:id="0"/>
            <w:commentRangeStart w:id="1"/>
            <w:r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Mental </w:t>
            </w:r>
            <w:r w:rsidR="00806A2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h</w:t>
            </w:r>
            <w:r w:rsidR="003D4DF7"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ealth </w:t>
            </w:r>
            <w:r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and </w:t>
            </w:r>
            <w:r w:rsidR="00806A2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leep </w:t>
            </w:r>
            <w:r w:rsidR="00806A2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q</w:t>
            </w:r>
            <w:r w:rsidR="004605DB"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uality</w:t>
            </w:r>
            <w:r w:rsidR="003D4DF7"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4605DB"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 </w:t>
            </w:r>
            <w:r w:rsidR="00806A2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</w:t>
            </w:r>
            <w:r w:rsidR="004605DB"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hildren </w:t>
            </w:r>
            <w:r w:rsidR="00806A2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</w:t>
            </w:r>
            <w:r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eceiving </w:t>
            </w:r>
            <w:proofErr w:type="spellStart"/>
            <w:r w:rsidRPr="001B0CDA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>Elexacaftor</w:t>
            </w:r>
            <w:proofErr w:type="spellEnd"/>
            <w:r w:rsidRPr="001B0CDA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>/</w:t>
            </w:r>
            <w:proofErr w:type="spellStart"/>
            <w:r w:rsidR="00442833" w:rsidRPr="001B0CDA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>T</w:t>
            </w:r>
            <w:r w:rsidRPr="001B0CDA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>ezacaftor</w:t>
            </w:r>
            <w:proofErr w:type="spellEnd"/>
            <w:r w:rsidRPr="001B0CDA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>/</w:t>
            </w:r>
            <w:r w:rsidR="00442833" w:rsidRPr="001B0CDA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>I</w:t>
            </w:r>
            <w:r w:rsidRPr="001B0CDA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>vacaftor</w:t>
            </w:r>
            <w:r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806A2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</w:t>
            </w:r>
            <w:r w:rsidRPr="001B0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herapy</w:t>
            </w:r>
            <w:commentRangeEnd w:id="0"/>
            <w:r w:rsidR="00CA605D" w:rsidRPr="001B0CDA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0"/>
            </w:r>
            <w:commentRangeEnd w:id="1"/>
            <w:r w:rsidR="00591438" w:rsidRPr="001B0CDA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"/>
            </w:r>
          </w:p>
        </w:tc>
      </w:tr>
      <w:tr w:rsidR="001564A4" w:rsidRPr="001B0CDA" w14:paraId="0E2E035C" w14:textId="77777777" w:rsidTr="005878AF">
        <w:trPr>
          <w:trHeight w:val="523"/>
          <w:jc w:val="center"/>
        </w:trPr>
        <w:tc>
          <w:tcPr>
            <w:tcW w:w="5000" w:type="pct"/>
            <w:shd w:val="clear" w:color="auto" w:fill="auto"/>
          </w:tcPr>
          <w:p w14:paraId="73B55295" w14:textId="48F5871A" w:rsidR="001564A4" w:rsidRPr="001B0CDA" w:rsidRDefault="004C2CAC" w:rsidP="005878AF">
            <w:pPr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>Maddison Deery</w:t>
            </w:r>
            <w:r w:rsidR="000E7CD0" w:rsidRPr="001B0CD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E7CD0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>, Tamara Blake</w:t>
            </w:r>
            <w:r w:rsidR="00D538C5" w:rsidRPr="001B0CD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0E7CD0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Vanessa Cobham</w:t>
            </w:r>
            <w:r w:rsidR="00D538C5" w:rsidRPr="001B0CD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  <w:r w:rsidR="001564A4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0E7CD0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Hayley Kimball</w:t>
            </w:r>
            <w:r w:rsidR="00D538C5" w:rsidRPr="001B0CD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0E7CD0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F81785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>Sophia Panochini</w:t>
            </w:r>
            <w:r w:rsidR="00F81785" w:rsidRPr="001B0CD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F81785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>, Peter</w:t>
            </w:r>
            <w:r w:rsidR="000E7CD0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Sly</w:t>
            </w:r>
            <w:r w:rsidR="00D538C5" w:rsidRPr="001B0CD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E7CD0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>, Claire Wainwright</w:t>
            </w:r>
            <w:r w:rsidR="000E7CD0" w:rsidRPr="001B0CD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7B19DF" w:rsidRPr="001B0CD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,5</w:t>
            </w:r>
            <w:r w:rsidR="000E7CD0" w:rsidRPr="001B0CDA">
              <w:rPr>
                <w:rFonts w:ascii="Arial" w:hAnsi="Arial" w:cs="Arial"/>
                <w:sz w:val="22"/>
                <w:szCs w:val="22"/>
                <w:lang w:val="en-US" w:eastAsia="en-GB"/>
              </w:rPr>
              <w:t>, Tonia Douglas</w:t>
            </w:r>
            <w:r w:rsidR="00D538C5" w:rsidRPr="001B0CD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</w:t>
            </w:r>
          </w:p>
        </w:tc>
      </w:tr>
      <w:tr w:rsidR="00F80AAF" w:rsidRPr="001B0CDA" w14:paraId="3141936E" w14:textId="77777777" w:rsidTr="005878AF">
        <w:trPr>
          <w:trHeight w:val="523"/>
          <w:jc w:val="center"/>
        </w:trPr>
        <w:tc>
          <w:tcPr>
            <w:tcW w:w="5000" w:type="pct"/>
            <w:shd w:val="clear" w:color="auto" w:fill="auto"/>
          </w:tcPr>
          <w:p w14:paraId="084B97B1" w14:textId="58856341" w:rsidR="00F80AAF" w:rsidRPr="001B0CDA" w:rsidRDefault="00F80AAF" w:rsidP="00F80AA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B0CD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B0C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0C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Children’s Health and Environment Program, Child Health Research Centre, University of Queensland, South Brisbane, </w:t>
            </w:r>
            <w:r w:rsidR="007F0351" w:rsidRPr="001B0CDA">
              <w:rPr>
                <w:rFonts w:ascii="Arial" w:hAnsi="Arial" w:cs="Arial"/>
                <w:i/>
                <w:iCs/>
                <w:sz w:val="22"/>
                <w:szCs w:val="22"/>
              </w:rPr>
              <w:t>Queensland, Australia</w:t>
            </w:r>
          </w:p>
          <w:p w14:paraId="57071560" w14:textId="56AA9CB6" w:rsidR="00F80AAF" w:rsidRPr="001B0CDA" w:rsidRDefault="00F80AAF" w:rsidP="00F80AAF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1B0CD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1B0CDA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B0CDA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School of Psychology, University of Queensland, Brisbane, </w:t>
            </w:r>
            <w:r w:rsidR="007F0351" w:rsidRPr="001B0CDA">
              <w:rPr>
                <w:rFonts w:ascii="Arial" w:hAnsi="Arial" w:cs="Arial"/>
                <w:i/>
                <w:iCs/>
                <w:sz w:val="22"/>
                <w:szCs w:val="22"/>
              </w:rPr>
              <w:t>Queensland, Australia</w:t>
            </w:r>
          </w:p>
          <w:p w14:paraId="45CBE6EE" w14:textId="5A7F6B24" w:rsidR="00F80AAF" w:rsidRPr="001B0CDA" w:rsidRDefault="00F80AAF" w:rsidP="00F80AA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B0CD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1B0CDA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B0CDA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Child and Youth Mental Health Service [CYMHS], Children’s Health Queensland Hospital and Health Service, Brisbane, QLD, </w:t>
            </w:r>
            <w:r w:rsidR="007F0351" w:rsidRPr="001B0CDA">
              <w:rPr>
                <w:rFonts w:ascii="Arial" w:hAnsi="Arial" w:cs="Arial"/>
                <w:i/>
                <w:iCs/>
                <w:sz w:val="22"/>
                <w:szCs w:val="22"/>
              </w:rPr>
              <w:t>Queensland, Australia</w:t>
            </w:r>
            <w:r w:rsidRPr="001B0CD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 xml:space="preserve">                                                   </w:t>
            </w:r>
          </w:p>
          <w:p w14:paraId="3A67173F" w14:textId="7D37E741" w:rsidR="00F80AAF" w:rsidRPr="001B0CDA" w:rsidRDefault="00F80AAF" w:rsidP="00F80AA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B0CD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1B0CDA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B0CDA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Cystic Fibrosis Service, Queensland Children’s Hospital, Brisbane, </w:t>
            </w:r>
            <w:r w:rsidR="007F0351" w:rsidRPr="001B0CDA">
              <w:rPr>
                <w:rFonts w:ascii="Arial" w:hAnsi="Arial" w:cs="Arial"/>
                <w:i/>
                <w:iCs/>
                <w:sz w:val="22"/>
                <w:szCs w:val="22"/>
              </w:rPr>
              <w:t>Queensland, Australia</w:t>
            </w:r>
          </w:p>
          <w:p w14:paraId="4B0245EE" w14:textId="13F5BAEE" w:rsidR="00F80AAF" w:rsidRPr="001B0CDA" w:rsidRDefault="00F80AAF" w:rsidP="005878AF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1B0CD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1B0CDA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B0CDA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School of Medicine, University of Queensland, Brisbane, </w:t>
            </w:r>
            <w:r w:rsidR="007F0351" w:rsidRPr="001B0CDA">
              <w:rPr>
                <w:rFonts w:ascii="Arial" w:hAnsi="Arial" w:cs="Arial"/>
                <w:i/>
                <w:iCs/>
                <w:sz w:val="22"/>
                <w:szCs w:val="22"/>
              </w:rPr>
              <w:t>Queensland, Australia</w:t>
            </w:r>
          </w:p>
        </w:tc>
      </w:tr>
      <w:tr w:rsidR="001564A4" w:rsidRPr="001B0CDA" w14:paraId="385A19D9" w14:textId="77777777" w:rsidTr="00F80AAF">
        <w:trPr>
          <w:trHeight w:val="11472"/>
          <w:jc w:val="center"/>
        </w:trPr>
        <w:tc>
          <w:tcPr>
            <w:tcW w:w="5000" w:type="pct"/>
            <w:shd w:val="clear" w:color="auto" w:fill="auto"/>
          </w:tcPr>
          <w:p w14:paraId="6C29FF18" w14:textId="336BDE6B" w:rsidR="005878AF" w:rsidRPr="001B0CDA" w:rsidRDefault="005878AF" w:rsidP="005878AF">
            <w:pPr>
              <w:pStyle w:val="Pa12"/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</w:pPr>
            <w:r w:rsidRPr="001B0CDA">
              <w:rPr>
                <w:rStyle w:val="A4"/>
                <w:b/>
                <w:bCs/>
              </w:rPr>
              <w:t xml:space="preserve">Introduction/Aim: </w:t>
            </w:r>
            <w:proofErr w:type="spellStart"/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Elexacaftor</w:t>
            </w:r>
            <w:proofErr w:type="spellEnd"/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/</w:t>
            </w:r>
            <w:proofErr w:type="spellStart"/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tezacaftor</w:t>
            </w:r>
            <w:proofErr w:type="spellEnd"/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/ivacaftor (ETI) 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is </w:t>
            </w:r>
            <w:r w:rsidR="00FD4962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a </w:t>
            </w:r>
            <w:r w:rsidR="005574C2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c</w:t>
            </w:r>
            <w:r w:rsidR="0009568E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ombination CFTR</w:t>
            </w:r>
            <w:r w:rsidR="00DE308F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 </w:t>
            </w:r>
            <w:r w:rsidR="006E554E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(Cystic Fibrosis Transmembrane Conductance Regulator)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modulator for individuals with CF </w:t>
            </w:r>
            <w:r w:rsidR="001B0CDA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(</w:t>
            </w:r>
            <w:r w:rsidR="001B0CDA" w:rsidRPr="001B0CDA">
              <w:rPr>
                <w:rFonts w:eastAsiaTheme="minorHAnsi"/>
                <w:sz w:val="22"/>
                <w:szCs w:val="22"/>
                <w:lang w:val="en-AU"/>
              </w:rPr>
              <w:t xml:space="preserve">Cystic Fibrosis)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and at least one </w:t>
            </w:r>
            <w:r w:rsidRPr="001B0CDA">
              <w:rPr>
                <w:rFonts w:eastAsiaTheme="minorHAnsi"/>
                <w:i/>
                <w:iCs/>
                <w:color w:val="000000"/>
                <w:sz w:val="22"/>
                <w:szCs w:val="22"/>
                <w:lang w:val="en-AU" w:eastAsia="en-US"/>
              </w:rPr>
              <w:t>F508del CFTR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 variant. Despite its therapeutic</w:t>
            </w:r>
            <w:r w:rsidR="00FD4962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 </w:t>
            </w:r>
            <w:r w:rsidR="00CA605D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benefits, concerns</w:t>
            </w:r>
            <w:r w:rsidR="0053352E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 have been raised 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abou</w:t>
            </w:r>
            <w:r w:rsidR="0009665F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t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 adverse mental health outcomes</w:t>
            </w:r>
            <w:r w:rsidR="00975C8B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 </w:t>
            </w:r>
            <w:r w:rsidR="00BA6751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observed</w:t>
            </w:r>
            <w:r w:rsidR="0053352E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 </w:t>
            </w:r>
            <w:r w:rsidR="00975C8B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in the </w:t>
            </w:r>
            <w:r w:rsidR="0053352E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adolescent and </w:t>
            </w:r>
            <w:r w:rsidR="00975C8B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adult population</w:t>
            </w:r>
            <w:r w:rsidR="00DD4057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.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ETI 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became available for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children 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aged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6-11</w:t>
            </w:r>
            <w:r w:rsidR="00CA605D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yrs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in Australia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 on May 1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vertAlign w:val="superscript"/>
                <w:lang w:val="en-AU" w:eastAsia="en-US"/>
              </w:rPr>
              <w:t>st</w:t>
            </w:r>
            <w:r w:rsidR="00975C8B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, 2023</w:t>
            </w:r>
            <w:r w:rsidR="00CA605D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. T</w:t>
            </w:r>
            <w:r w:rsidR="0053352E" w:rsidRPr="001B0CDA">
              <w:rPr>
                <w:sz w:val="22"/>
                <w:szCs w:val="22"/>
              </w:rPr>
              <w:t>he effects of ETI on mental health and sleep among th</w:t>
            </w:r>
            <w:r w:rsidR="00CA605D" w:rsidRPr="001B0CDA">
              <w:rPr>
                <w:sz w:val="22"/>
                <w:szCs w:val="22"/>
              </w:rPr>
              <w:t>is</w:t>
            </w:r>
            <w:r w:rsidR="0053352E" w:rsidRPr="001B0CDA">
              <w:rPr>
                <w:sz w:val="22"/>
                <w:szCs w:val="22"/>
              </w:rPr>
              <w:t xml:space="preserve"> age group </w:t>
            </w:r>
            <w:r w:rsidR="00CA605D" w:rsidRPr="001B0CDA">
              <w:rPr>
                <w:sz w:val="22"/>
                <w:szCs w:val="22"/>
              </w:rPr>
              <w:t>have not</w:t>
            </w:r>
            <w:r w:rsidR="0053352E" w:rsidRPr="001B0CDA">
              <w:rPr>
                <w:sz w:val="22"/>
                <w:szCs w:val="22"/>
              </w:rPr>
              <w:t xml:space="preserve"> been previously reported.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 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We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aim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ed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to evaluat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e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the </w:t>
            </w:r>
            <w:r w:rsidR="00222608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impact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of ETI on mental health, sleep, and behaviour </w:t>
            </w:r>
            <w:r w:rsidR="00CA605D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outcomes </w:t>
            </w:r>
            <w:r w:rsidR="0009665F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in 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children aged 6-11</w:t>
            </w:r>
            <w:r w:rsidR="00CA605D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yrs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. </w:t>
            </w:r>
          </w:p>
          <w:p w14:paraId="222C38C7" w14:textId="77777777" w:rsidR="005878AF" w:rsidRPr="001B0CDA" w:rsidRDefault="005878AF" w:rsidP="005878AF">
            <w:pPr>
              <w:pStyle w:val="Default"/>
              <w:rPr>
                <w:sz w:val="22"/>
                <w:szCs w:val="22"/>
                <w:lang w:val="en-AU" w:eastAsia="en-US"/>
              </w:rPr>
            </w:pPr>
          </w:p>
          <w:p w14:paraId="0C5655A3" w14:textId="227792C0" w:rsidR="005878AF" w:rsidRPr="001B0CDA" w:rsidRDefault="005878AF" w:rsidP="00DE308F">
            <w:pPr>
              <w:pStyle w:val="Pa12"/>
              <w:rPr>
                <w:sz w:val="22"/>
                <w:szCs w:val="22"/>
              </w:rPr>
            </w:pPr>
            <w:r w:rsidRPr="001B0CDA">
              <w:rPr>
                <w:rStyle w:val="A4"/>
                <w:b/>
                <w:bCs/>
              </w:rPr>
              <w:t xml:space="preserve">Method: </w:t>
            </w:r>
            <w:r w:rsidRPr="001B0CDA">
              <w:rPr>
                <w:sz w:val="22"/>
                <w:szCs w:val="22"/>
              </w:rPr>
              <w:t>1</w:t>
            </w:r>
            <w:r w:rsidR="007C385D" w:rsidRPr="001B0CDA">
              <w:rPr>
                <w:sz w:val="22"/>
                <w:szCs w:val="22"/>
              </w:rPr>
              <w:t>11</w:t>
            </w:r>
            <w:r w:rsidRPr="001B0CDA">
              <w:rPr>
                <w:sz w:val="22"/>
                <w:szCs w:val="22"/>
              </w:rPr>
              <w:t xml:space="preserve"> children</w:t>
            </w:r>
            <w:r w:rsidR="00182607" w:rsidRPr="001B0CDA">
              <w:rPr>
                <w:sz w:val="22"/>
                <w:szCs w:val="22"/>
              </w:rPr>
              <w:t xml:space="preserve"> aged</w:t>
            </w:r>
            <w:r w:rsidRPr="001B0CDA">
              <w:rPr>
                <w:sz w:val="22"/>
                <w:szCs w:val="22"/>
              </w:rPr>
              <w:t xml:space="preserve"> </w:t>
            </w:r>
            <w:r w:rsidR="0009665F" w:rsidRPr="001B0CDA">
              <w:rPr>
                <w:sz w:val="22"/>
                <w:szCs w:val="22"/>
              </w:rPr>
              <w:t>6-11yrs</w:t>
            </w:r>
            <w:r w:rsidRPr="001B0CDA">
              <w:rPr>
                <w:sz w:val="22"/>
                <w:szCs w:val="22"/>
              </w:rPr>
              <w:t xml:space="preserve"> were recruited from the </w:t>
            </w:r>
            <w:r w:rsidR="00CA605D" w:rsidRPr="001B0CDA">
              <w:rPr>
                <w:sz w:val="22"/>
                <w:szCs w:val="22"/>
              </w:rPr>
              <w:t>CF</w:t>
            </w:r>
            <w:r w:rsidR="00370E8D" w:rsidRPr="001B0CDA">
              <w:rPr>
                <w:sz w:val="22"/>
                <w:szCs w:val="22"/>
              </w:rPr>
              <w:t xml:space="preserve"> </w:t>
            </w:r>
            <w:r w:rsidR="00182607" w:rsidRPr="001B0CDA">
              <w:rPr>
                <w:sz w:val="22"/>
                <w:szCs w:val="22"/>
              </w:rPr>
              <w:t>Clinic</w:t>
            </w:r>
            <w:r w:rsidRPr="001B0CDA">
              <w:rPr>
                <w:sz w:val="22"/>
                <w:szCs w:val="22"/>
              </w:rPr>
              <w:t xml:space="preserve"> at the Queensland Children’s Hospital.</w:t>
            </w:r>
            <w:r w:rsidR="00DE308F" w:rsidRPr="001B0CDA">
              <w:rPr>
                <w:sz w:val="22"/>
                <w:szCs w:val="22"/>
              </w:rPr>
              <w:t xml:space="preserve"> </w:t>
            </w:r>
            <w:r w:rsidRPr="001B0CDA">
              <w:rPr>
                <w:sz w:val="22"/>
                <w:szCs w:val="22"/>
              </w:rPr>
              <w:t xml:space="preserve">Sleep, behavioural and mental health </w:t>
            </w:r>
            <w:r w:rsidR="00DE308F" w:rsidRPr="001B0CDA">
              <w:rPr>
                <w:sz w:val="22"/>
                <w:szCs w:val="22"/>
              </w:rPr>
              <w:t xml:space="preserve">outcomes </w:t>
            </w:r>
            <w:r w:rsidRPr="001B0CDA">
              <w:rPr>
                <w:sz w:val="22"/>
                <w:szCs w:val="22"/>
              </w:rPr>
              <w:t xml:space="preserve">were measured using </w:t>
            </w:r>
            <w:r w:rsidR="00CA605D" w:rsidRPr="001B0CDA">
              <w:rPr>
                <w:sz w:val="22"/>
                <w:szCs w:val="22"/>
              </w:rPr>
              <w:t>p</w:t>
            </w:r>
            <w:r w:rsidRPr="001B0CDA">
              <w:rPr>
                <w:sz w:val="22"/>
                <w:szCs w:val="22"/>
              </w:rPr>
              <w:t xml:space="preserve">arent reported </w:t>
            </w:r>
            <w:r w:rsidR="00462541" w:rsidRPr="001B0CDA">
              <w:rPr>
                <w:sz w:val="22"/>
                <w:szCs w:val="22"/>
              </w:rPr>
              <w:t>P</w:t>
            </w:r>
            <w:r w:rsidRPr="001B0CDA">
              <w:rPr>
                <w:sz w:val="22"/>
                <w:szCs w:val="22"/>
              </w:rPr>
              <w:t xml:space="preserve">aediatric </w:t>
            </w:r>
            <w:r w:rsidR="00462541" w:rsidRPr="001B0CDA">
              <w:rPr>
                <w:sz w:val="22"/>
                <w:szCs w:val="22"/>
              </w:rPr>
              <w:t>S</w:t>
            </w:r>
            <w:r w:rsidRPr="001B0CDA">
              <w:rPr>
                <w:sz w:val="22"/>
                <w:szCs w:val="22"/>
              </w:rPr>
              <w:t xml:space="preserve">ymptom </w:t>
            </w:r>
            <w:r w:rsidR="00462541" w:rsidRPr="001B0CDA">
              <w:rPr>
                <w:sz w:val="22"/>
                <w:szCs w:val="22"/>
              </w:rPr>
              <w:t>C</w:t>
            </w:r>
            <w:r w:rsidRPr="001B0CDA">
              <w:rPr>
                <w:sz w:val="22"/>
                <w:szCs w:val="22"/>
              </w:rPr>
              <w:t>hecklist (PSC) and Sleep Disturbance Scale for Children (SDSC)</w:t>
            </w:r>
            <w:r w:rsidR="00222608" w:rsidRPr="001B0CDA">
              <w:rPr>
                <w:sz w:val="22"/>
                <w:szCs w:val="22"/>
              </w:rPr>
              <w:t xml:space="preserve"> before commencing ETI </w:t>
            </w:r>
            <w:r w:rsidR="009F57FB" w:rsidRPr="001B0CDA">
              <w:rPr>
                <w:sz w:val="22"/>
                <w:szCs w:val="22"/>
              </w:rPr>
              <w:t>(baseline)</w:t>
            </w:r>
            <w:r w:rsidR="00222608" w:rsidRPr="001B0CDA">
              <w:rPr>
                <w:sz w:val="22"/>
                <w:szCs w:val="22"/>
              </w:rPr>
              <w:t xml:space="preserve">and after </w:t>
            </w:r>
            <w:r w:rsidRPr="001B0CDA">
              <w:rPr>
                <w:sz w:val="22"/>
                <w:szCs w:val="22"/>
              </w:rPr>
              <w:t>1</w:t>
            </w:r>
            <w:r w:rsidR="00CA605D" w:rsidRPr="001B0CDA">
              <w:rPr>
                <w:sz w:val="22"/>
                <w:szCs w:val="22"/>
              </w:rPr>
              <w:t>-</w:t>
            </w:r>
            <w:r w:rsidRPr="001B0CDA">
              <w:rPr>
                <w:sz w:val="22"/>
                <w:szCs w:val="22"/>
              </w:rPr>
              <w:t>month</w:t>
            </w:r>
            <w:r w:rsidR="00222608" w:rsidRPr="001B0CDA">
              <w:rPr>
                <w:sz w:val="22"/>
                <w:szCs w:val="22"/>
              </w:rPr>
              <w:t xml:space="preserve"> of therapy. </w:t>
            </w:r>
            <w:r w:rsidRPr="001B0CDA">
              <w:rPr>
                <w:sz w:val="22"/>
                <w:szCs w:val="22"/>
              </w:rPr>
              <w:t xml:space="preserve">  </w:t>
            </w:r>
          </w:p>
          <w:p w14:paraId="67200895" w14:textId="77777777" w:rsidR="005878AF" w:rsidRPr="001B0CDA" w:rsidRDefault="005878AF" w:rsidP="005878AF">
            <w:pPr>
              <w:pStyle w:val="Default"/>
              <w:rPr>
                <w:sz w:val="22"/>
                <w:szCs w:val="22"/>
              </w:rPr>
            </w:pPr>
          </w:p>
          <w:p w14:paraId="79F354AB" w14:textId="53F20D58" w:rsidR="000D1B54" w:rsidRPr="001B0CDA" w:rsidRDefault="005878AF" w:rsidP="000D1B54">
            <w:pPr>
              <w:rPr>
                <w:rFonts w:ascii="Arial" w:hAnsi="Arial" w:cs="Arial"/>
                <w:sz w:val="22"/>
                <w:szCs w:val="22"/>
              </w:rPr>
            </w:pPr>
            <w:r w:rsidRPr="001B0CDA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 w:rsidR="00CC12A6" w:rsidRPr="001B0CDA">
              <w:rPr>
                <w:rFonts w:ascii="Arial" w:hAnsi="Arial" w:cs="Arial"/>
                <w:sz w:val="22"/>
                <w:szCs w:val="22"/>
              </w:rPr>
              <w:t>Baseline q</w:t>
            </w:r>
            <w:r w:rsidRPr="001B0CDA">
              <w:rPr>
                <w:rFonts w:ascii="Arial" w:hAnsi="Arial" w:cs="Arial"/>
                <w:sz w:val="22"/>
                <w:szCs w:val="22"/>
              </w:rPr>
              <w:t>uestionnaires were completed by</w:t>
            </w:r>
            <w:r w:rsidR="000F5A54" w:rsidRPr="001B0CDA">
              <w:rPr>
                <w:rFonts w:ascii="Arial" w:hAnsi="Arial" w:cs="Arial"/>
                <w:sz w:val="22"/>
                <w:szCs w:val="22"/>
              </w:rPr>
              <w:t xml:space="preserve"> N=</w:t>
            </w:r>
            <w:r w:rsidRPr="001B0CDA">
              <w:rPr>
                <w:rFonts w:ascii="Arial" w:hAnsi="Arial" w:cs="Arial"/>
                <w:sz w:val="22"/>
                <w:szCs w:val="22"/>
              </w:rPr>
              <w:t>9</w:t>
            </w:r>
            <w:r w:rsidR="0000697A" w:rsidRPr="001B0CDA">
              <w:rPr>
                <w:rFonts w:ascii="Arial" w:hAnsi="Arial" w:cs="Arial"/>
                <w:sz w:val="22"/>
                <w:szCs w:val="22"/>
              </w:rPr>
              <w:t>8</w:t>
            </w:r>
            <w:r w:rsidRPr="001B0CDA">
              <w:rPr>
                <w:rFonts w:ascii="Arial" w:hAnsi="Arial" w:cs="Arial"/>
                <w:sz w:val="22"/>
                <w:szCs w:val="22"/>
              </w:rPr>
              <w:t xml:space="preserve"> caregivers</w:t>
            </w:r>
            <w:r w:rsidR="00B17314" w:rsidRPr="001B0CDA">
              <w:rPr>
                <w:rFonts w:ascii="Arial" w:hAnsi="Arial" w:cs="Arial"/>
                <w:sz w:val="22"/>
                <w:szCs w:val="22"/>
              </w:rPr>
              <w:t>. N=</w:t>
            </w:r>
            <w:r w:rsidR="00972F08" w:rsidRPr="001B0CDA">
              <w:rPr>
                <w:rFonts w:ascii="Arial" w:hAnsi="Arial" w:cs="Arial"/>
                <w:sz w:val="22"/>
                <w:szCs w:val="22"/>
              </w:rPr>
              <w:t>6</w:t>
            </w:r>
            <w:r w:rsidR="0000697A" w:rsidRPr="001B0CDA">
              <w:rPr>
                <w:rFonts w:ascii="Arial" w:hAnsi="Arial" w:cs="Arial"/>
                <w:sz w:val="22"/>
                <w:szCs w:val="22"/>
              </w:rPr>
              <w:t>6</w:t>
            </w:r>
            <w:r w:rsidRPr="001B0C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697A" w:rsidRPr="001B0CDA">
              <w:rPr>
                <w:rFonts w:ascii="Arial" w:hAnsi="Arial" w:cs="Arial"/>
                <w:sz w:val="22"/>
                <w:szCs w:val="22"/>
              </w:rPr>
              <w:t>caregivers</w:t>
            </w:r>
            <w:r w:rsidR="0009665F" w:rsidRPr="001B0CDA">
              <w:rPr>
                <w:rFonts w:ascii="Arial" w:hAnsi="Arial" w:cs="Arial"/>
                <w:sz w:val="22"/>
                <w:szCs w:val="22"/>
              </w:rPr>
              <w:t xml:space="preserve"> completed</w:t>
            </w:r>
            <w:r w:rsidR="00C5671A" w:rsidRPr="001B0CDA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2C7A9A" w:rsidRPr="001B0C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0CDA">
              <w:rPr>
                <w:rFonts w:ascii="Arial" w:hAnsi="Arial" w:cs="Arial"/>
                <w:sz w:val="22"/>
                <w:szCs w:val="22"/>
              </w:rPr>
              <w:t>1</w:t>
            </w:r>
            <w:r w:rsidR="00462541" w:rsidRPr="001B0CDA">
              <w:rPr>
                <w:rFonts w:ascii="Arial" w:hAnsi="Arial" w:cs="Arial"/>
                <w:sz w:val="22"/>
                <w:szCs w:val="22"/>
              </w:rPr>
              <w:t>-</w:t>
            </w:r>
            <w:r w:rsidRPr="001B0CDA">
              <w:rPr>
                <w:rFonts w:ascii="Arial" w:hAnsi="Arial" w:cs="Arial"/>
                <w:sz w:val="22"/>
                <w:szCs w:val="22"/>
              </w:rPr>
              <w:t xml:space="preserve">month post </w:t>
            </w:r>
            <w:r w:rsidR="0009665F" w:rsidRPr="001B0CDA">
              <w:rPr>
                <w:rFonts w:ascii="Arial" w:hAnsi="Arial" w:cs="Arial"/>
                <w:sz w:val="22"/>
                <w:szCs w:val="22"/>
              </w:rPr>
              <w:t xml:space="preserve">ETI </w:t>
            </w:r>
            <w:r w:rsidR="00C5671A" w:rsidRPr="001B0CDA">
              <w:rPr>
                <w:rFonts w:ascii="Arial" w:hAnsi="Arial" w:cs="Arial"/>
                <w:sz w:val="22"/>
                <w:szCs w:val="22"/>
              </w:rPr>
              <w:t>questionnaires</w:t>
            </w:r>
            <w:r w:rsidR="001648F4" w:rsidRPr="001B0CDA">
              <w:rPr>
                <w:rFonts w:ascii="Arial" w:hAnsi="Arial" w:cs="Arial"/>
                <w:sz w:val="22"/>
                <w:szCs w:val="22"/>
              </w:rPr>
              <w:t xml:space="preserve">. </w:t>
            </w:r>
            <w:bookmarkStart w:id="2" w:name="_Hlk144903956"/>
            <w:r w:rsidR="0000697A" w:rsidRPr="001B0CDA">
              <w:rPr>
                <w:rFonts w:ascii="Arial" w:hAnsi="Arial" w:cs="Arial"/>
                <w:sz w:val="22"/>
                <w:szCs w:val="22"/>
              </w:rPr>
              <w:t>Results</w:t>
            </w:r>
            <w:r w:rsidR="00FA1BB0" w:rsidRPr="001B0CDA">
              <w:rPr>
                <w:rFonts w:ascii="Arial" w:hAnsi="Arial" w:cs="Arial"/>
                <w:sz w:val="22"/>
                <w:szCs w:val="22"/>
              </w:rPr>
              <w:t xml:space="preserve"> in table</w:t>
            </w:r>
            <w:r w:rsidR="0000697A" w:rsidRPr="001B0CDA">
              <w:rPr>
                <w:rFonts w:ascii="Arial" w:hAnsi="Arial" w:cs="Arial"/>
                <w:sz w:val="22"/>
                <w:szCs w:val="22"/>
              </w:rPr>
              <w:t xml:space="preserve"> below reported as median (25th-75th%). 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No statistically significant differences were observed </w:t>
            </w:r>
            <w:r w:rsidR="0009665F" w:rsidRPr="001B0CDA">
              <w:rPr>
                <w:rFonts w:ascii="Arial" w:hAnsi="Arial" w:cs="Arial"/>
                <w:sz w:val="22"/>
                <w:szCs w:val="22"/>
              </w:rPr>
              <w:t>between PSC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 baseline and 1-month </w:t>
            </w:r>
            <w:r w:rsidR="0009665F" w:rsidRPr="001B0CDA">
              <w:rPr>
                <w:rFonts w:ascii="Arial" w:hAnsi="Arial" w:cs="Arial"/>
                <w:sz w:val="22"/>
                <w:szCs w:val="22"/>
              </w:rPr>
              <w:t xml:space="preserve">scores </w:t>
            </w:r>
            <w:r w:rsidR="00B656DC" w:rsidRPr="001B0CDA">
              <w:rPr>
                <w:rFonts w:ascii="Arial" w:hAnsi="Arial" w:cs="Arial"/>
                <w:sz w:val="22"/>
                <w:szCs w:val="22"/>
              </w:rPr>
              <w:t xml:space="preserve">when </w:t>
            </w:r>
            <w:r w:rsidR="0009665F" w:rsidRPr="001B0CDA">
              <w:rPr>
                <w:rFonts w:ascii="Arial" w:hAnsi="Arial" w:cs="Arial"/>
                <w:sz w:val="22"/>
                <w:szCs w:val="22"/>
              </w:rPr>
              <w:t>examined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 as an entire cohort (difference </w:t>
            </w:r>
            <w:r w:rsidR="009F2DC0" w:rsidRPr="001B0CDA">
              <w:rPr>
                <w:rFonts w:ascii="Arial" w:hAnsi="Arial" w:cs="Arial"/>
                <w:sz w:val="22"/>
                <w:szCs w:val="22"/>
              </w:rPr>
              <w:t>0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 [95%CI </w:t>
            </w:r>
            <w:r w:rsidR="002656A0" w:rsidRPr="001B0CDA">
              <w:rPr>
                <w:rFonts w:ascii="Arial" w:hAnsi="Arial" w:cs="Arial"/>
                <w:sz w:val="22"/>
                <w:szCs w:val="22"/>
              </w:rPr>
              <w:t>-2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>,</w:t>
            </w:r>
            <w:r w:rsidR="0000697A" w:rsidRPr="001B0CDA">
              <w:rPr>
                <w:rFonts w:ascii="Arial" w:hAnsi="Arial" w:cs="Arial"/>
                <w:sz w:val="22"/>
                <w:szCs w:val="22"/>
              </w:rPr>
              <w:t>2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>], p=0.</w:t>
            </w:r>
            <w:r w:rsidR="0000697A" w:rsidRPr="001B0CDA">
              <w:rPr>
                <w:rFonts w:ascii="Arial" w:hAnsi="Arial" w:cs="Arial"/>
                <w:sz w:val="22"/>
                <w:szCs w:val="22"/>
              </w:rPr>
              <w:t>79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FD1EA9" w:rsidRPr="001B0CDA">
              <w:rPr>
                <w:rFonts w:ascii="Arial" w:hAnsi="Arial" w:cs="Arial"/>
                <w:sz w:val="22"/>
                <w:szCs w:val="22"/>
              </w:rPr>
              <w:t>and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 as matched data (difference 0 [95%CI-2,2], p=0.</w:t>
            </w:r>
            <w:r w:rsidR="00C650D9" w:rsidRPr="001B0CDA">
              <w:rPr>
                <w:rFonts w:ascii="Arial" w:hAnsi="Arial" w:cs="Arial"/>
                <w:sz w:val="22"/>
                <w:szCs w:val="22"/>
              </w:rPr>
              <w:t>84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). Similar results </w:t>
            </w:r>
            <w:r w:rsidR="0009665F" w:rsidRPr="001B0CDA">
              <w:rPr>
                <w:rFonts w:ascii="Arial" w:hAnsi="Arial" w:cs="Arial"/>
                <w:sz w:val="22"/>
                <w:szCs w:val="22"/>
              </w:rPr>
              <w:t>were seen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 for SDSC scores </w:t>
            </w:r>
            <w:r w:rsidR="00150C0A" w:rsidRPr="001B0CDA">
              <w:rPr>
                <w:rFonts w:ascii="Arial" w:hAnsi="Arial" w:cs="Arial"/>
                <w:sz w:val="22"/>
                <w:szCs w:val="22"/>
              </w:rPr>
              <w:t>as an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 entire cohort (difference </w:t>
            </w:r>
            <w:r w:rsidR="00CB4584" w:rsidRPr="001B0CDA">
              <w:rPr>
                <w:rFonts w:ascii="Arial" w:hAnsi="Arial" w:cs="Arial"/>
                <w:sz w:val="22"/>
                <w:szCs w:val="22"/>
              </w:rPr>
              <w:t>0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 [95%CI</w:t>
            </w:r>
            <w:r w:rsidR="000A7549" w:rsidRPr="001B0CDA">
              <w:rPr>
                <w:rFonts w:ascii="Arial" w:hAnsi="Arial" w:cs="Arial"/>
                <w:sz w:val="22"/>
                <w:szCs w:val="22"/>
              </w:rPr>
              <w:t>-</w:t>
            </w:r>
            <w:r w:rsidR="00CB4584" w:rsidRPr="001B0CDA">
              <w:rPr>
                <w:rFonts w:ascii="Arial" w:hAnsi="Arial" w:cs="Arial"/>
                <w:sz w:val="22"/>
                <w:szCs w:val="22"/>
              </w:rPr>
              <w:t>2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>,</w:t>
            </w:r>
            <w:r w:rsidR="00CB4584" w:rsidRPr="001B0CDA">
              <w:rPr>
                <w:rFonts w:ascii="Arial" w:hAnsi="Arial" w:cs="Arial"/>
                <w:sz w:val="22"/>
                <w:szCs w:val="22"/>
              </w:rPr>
              <w:t>3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>], p=0.</w:t>
            </w:r>
            <w:r w:rsidR="00E15B97" w:rsidRPr="001B0CDA">
              <w:rPr>
                <w:rFonts w:ascii="Arial" w:hAnsi="Arial" w:cs="Arial"/>
                <w:sz w:val="22"/>
                <w:szCs w:val="22"/>
              </w:rPr>
              <w:t>77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FC7184" w:rsidRPr="001B0CD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D1B54" w:rsidRPr="001B0CDA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FC7184" w:rsidRPr="001B0CDA">
              <w:rPr>
                <w:rFonts w:ascii="Arial" w:hAnsi="Arial" w:cs="Arial"/>
                <w:sz w:val="22"/>
                <w:szCs w:val="22"/>
              </w:rPr>
              <w:t>matched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 data (difference </w:t>
            </w:r>
            <w:r w:rsidR="00E15B97" w:rsidRPr="001B0CDA">
              <w:rPr>
                <w:rFonts w:ascii="Arial" w:hAnsi="Arial" w:cs="Arial"/>
                <w:sz w:val="22"/>
                <w:szCs w:val="22"/>
              </w:rPr>
              <w:t>-0.5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 xml:space="preserve"> [95%CI-4,</w:t>
            </w:r>
            <w:r w:rsidR="00E15B97" w:rsidRPr="001B0CDA">
              <w:rPr>
                <w:rFonts w:ascii="Arial" w:hAnsi="Arial" w:cs="Arial"/>
                <w:sz w:val="22"/>
                <w:szCs w:val="22"/>
              </w:rPr>
              <w:t>2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>], p=</w:t>
            </w:r>
            <w:r w:rsidR="007D52D0" w:rsidRPr="001B0CDA">
              <w:rPr>
                <w:rFonts w:ascii="Arial" w:hAnsi="Arial" w:cs="Arial"/>
                <w:sz w:val="22"/>
                <w:szCs w:val="22"/>
              </w:rPr>
              <w:t>0.9</w:t>
            </w:r>
            <w:r w:rsidR="00E15B97" w:rsidRPr="001B0CDA">
              <w:rPr>
                <w:rFonts w:ascii="Arial" w:hAnsi="Arial" w:cs="Arial"/>
                <w:sz w:val="22"/>
                <w:szCs w:val="22"/>
              </w:rPr>
              <w:t>4</w:t>
            </w:r>
            <w:r w:rsidR="00FD7C07" w:rsidRPr="001B0CDA">
              <w:rPr>
                <w:rFonts w:ascii="Arial" w:hAnsi="Arial" w:cs="Arial"/>
                <w:sz w:val="22"/>
                <w:szCs w:val="22"/>
              </w:rPr>
              <w:t>).</w:t>
            </w:r>
            <w:r w:rsidR="00975C8B" w:rsidRPr="001B0CDA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2"/>
            <w:r w:rsidR="000D1B54" w:rsidRPr="001B0CDA">
              <w:rPr>
                <w:rFonts w:ascii="Arial" w:hAnsi="Arial" w:cs="Arial"/>
                <w:sz w:val="22"/>
                <w:szCs w:val="22"/>
              </w:rPr>
              <w:t xml:space="preserve"> When comparing matched data (baseline and 1-month post) for the PSC, there were </w:t>
            </w:r>
            <w:r w:rsidR="007C385D" w:rsidRPr="001B0CDA">
              <w:rPr>
                <w:rFonts w:ascii="Arial" w:hAnsi="Arial" w:cs="Arial"/>
                <w:sz w:val="22"/>
                <w:szCs w:val="22"/>
              </w:rPr>
              <w:t>six</w:t>
            </w:r>
            <w:r w:rsidR="000D1B54" w:rsidRPr="001B0CDA">
              <w:rPr>
                <w:rFonts w:ascii="Arial" w:hAnsi="Arial" w:cs="Arial"/>
                <w:sz w:val="22"/>
                <w:szCs w:val="22"/>
              </w:rPr>
              <w:t xml:space="preserve"> instances where scores became abnormal and </w:t>
            </w:r>
            <w:r w:rsidR="00B37E20" w:rsidRPr="001B0CDA">
              <w:rPr>
                <w:rFonts w:ascii="Arial" w:hAnsi="Arial" w:cs="Arial"/>
                <w:sz w:val="22"/>
                <w:szCs w:val="22"/>
              </w:rPr>
              <w:t>five</w:t>
            </w:r>
            <w:r w:rsidR="000D1B54" w:rsidRPr="001B0CDA">
              <w:rPr>
                <w:rFonts w:ascii="Arial" w:hAnsi="Arial" w:cs="Arial"/>
                <w:sz w:val="22"/>
                <w:szCs w:val="22"/>
              </w:rPr>
              <w:t xml:space="preserve"> where scores became normal. Similarly, for the SDSC, four instances became </w:t>
            </w:r>
            <w:r w:rsidR="004B6C5E" w:rsidRPr="001B0CDA">
              <w:rPr>
                <w:rFonts w:ascii="Arial" w:hAnsi="Arial" w:cs="Arial"/>
                <w:sz w:val="22"/>
                <w:szCs w:val="22"/>
              </w:rPr>
              <w:t>abnormal,</w:t>
            </w:r>
            <w:r w:rsidR="000D1B54" w:rsidRPr="001B0CDA">
              <w:rPr>
                <w:rFonts w:ascii="Arial" w:hAnsi="Arial" w:cs="Arial"/>
                <w:sz w:val="22"/>
                <w:szCs w:val="22"/>
              </w:rPr>
              <w:t xml:space="preserve"> and f</w:t>
            </w:r>
            <w:r w:rsidR="00B37E20" w:rsidRPr="001B0CDA">
              <w:rPr>
                <w:rFonts w:ascii="Arial" w:hAnsi="Arial" w:cs="Arial"/>
                <w:sz w:val="22"/>
                <w:szCs w:val="22"/>
              </w:rPr>
              <w:t>ive</w:t>
            </w:r>
            <w:r w:rsidR="000D1B54" w:rsidRPr="001B0CDA">
              <w:rPr>
                <w:rFonts w:ascii="Arial" w:hAnsi="Arial" w:cs="Arial"/>
                <w:sz w:val="22"/>
                <w:szCs w:val="22"/>
              </w:rPr>
              <w:t xml:space="preserve"> instances became normal.</w:t>
            </w:r>
          </w:p>
          <w:p w14:paraId="78A26584" w14:textId="77777777" w:rsidR="000D1B54" w:rsidRPr="001B0CDA" w:rsidRDefault="000D1B54" w:rsidP="000D1B5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1686"/>
              <w:gridCol w:w="1417"/>
              <w:gridCol w:w="1843"/>
              <w:gridCol w:w="1417"/>
              <w:gridCol w:w="1550"/>
              <w:gridCol w:w="1434"/>
            </w:tblGrid>
            <w:tr w:rsidR="002C7A9A" w:rsidRPr="001B0CDA" w14:paraId="386022FB" w14:textId="77777777" w:rsidTr="00254BD6">
              <w:tc>
                <w:tcPr>
                  <w:tcW w:w="883" w:type="dxa"/>
                </w:tcPr>
                <w:p w14:paraId="72B3B81E" w14:textId="77777777" w:rsidR="002C7A9A" w:rsidRPr="001B0CDA" w:rsidRDefault="002C7A9A" w:rsidP="00CA605D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6" w:type="dxa"/>
                </w:tcPr>
                <w:p w14:paraId="50481091" w14:textId="00003886" w:rsidR="002C7A9A" w:rsidRPr="001B0CDA" w:rsidRDefault="002C7A9A" w:rsidP="00CA605D">
                  <w:pPr>
                    <w:pStyle w:val="Pa12"/>
                    <w:jc w:val="center"/>
                    <w:rPr>
                      <w:rStyle w:val="A4"/>
                      <w:bCs/>
                    </w:rPr>
                  </w:pPr>
                  <w:r w:rsidRPr="001B0CDA">
                    <w:rPr>
                      <w:rStyle w:val="A4"/>
                      <w:bCs/>
                    </w:rPr>
                    <w:t>Baseline</w:t>
                  </w:r>
                </w:p>
                <w:p w14:paraId="73AB45A4" w14:textId="49867335" w:rsidR="002C7A9A" w:rsidRPr="001B0CDA" w:rsidRDefault="002C7A9A" w:rsidP="00CA605D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1B0CDA">
                    <w:rPr>
                      <w:rStyle w:val="A4"/>
                      <w:bCs/>
                      <w:i/>
                      <w:iCs/>
                    </w:rPr>
                    <w:t>(n=</w:t>
                  </w:r>
                  <w:r w:rsidR="00CA12FE" w:rsidRPr="001B0CDA">
                    <w:rPr>
                      <w:rStyle w:val="A4"/>
                      <w:bCs/>
                      <w:i/>
                      <w:iCs/>
                    </w:rPr>
                    <w:t>9</w:t>
                  </w:r>
                  <w:r w:rsidR="0000697A" w:rsidRPr="001B0CDA">
                    <w:rPr>
                      <w:rStyle w:val="A4"/>
                      <w:bCs/>
                      <w:i/>
                      <w:iCs/>
                    </w:rPr>
                    <w:t>8</w:t>
                  </w:r>
                  <w:r w:rsidRPr="001B0CDA">
                    <w:rPr>
                      <w:rStyle w:val="A4"/>
                      <w:bCs/>
                      <w:i/>
                      <w:iCs/>
                    </w:rPr>
                    <w:t>)</w:t>
                  </w:r>
                </w:p>
              </w:tc>
              <w:tc>
                <w:tcPr>
                  <w:tcW w:w="1417" w:type="dxa"/>
                </w:tcPr>
                <w:p w14:paraId="0C9B9067" w14:textId="4E0799E8" w:rsidR="002C7A9A" w:rsidRPr="001B0CDA" w:rsidRDefault="002C7A9A" w:rsidP="00CA605D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1B0CDA">
                    <w:rPr>
                      <w:rStyle w:val="A4"/>
                      <w:bCs/>
                    </w:rPr>
                    <w:t>Abnormal</w:t>
                  </w:r>
                  <w:r w:rsidR="00F01352" w:rsidRPr="001B0CDA">
                    <w:rPr>
                      <w:rStyle w:val="A4"/>
                      <w:bCs/>
                    </w:rPr>
                    <w:t xml:space="preserve"> (%)</w:t>
                  </w:r>
                </w:p>
              </w:tc>
              <w:tc>
                <w:tcPr>
                  <w:tcW w:w="1843" w:type="dxa"/>
                </w:tcPr>
                <w:p w14:paraId="46FF8194" w14:textId="743A248B" w:rsidR="002C7A9A" w:rsidRPr="001B0CDA" w:rsidRDefault="002C7A9A" w:rsidP="00CA605D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1B0CDA">
                    <w:rPr>
                      <w:rStyle w:val="A4"/>
                      <w:bCs/>
                    </w:rPr>
                    <w:t xml:space="preserve">Matched Baseline </w:t>
                  </w:r>
                  <w:r w:rsidRPr="001B0CDA">
                    <w:rPr>
                      <w:rStyle w:val="A4"/>
                      <w:bCs/>
                      <w:i/>
                      <w:iCs/>
                    </w:rPr>
                    <w:t>(n=</w:t>
                  </w:r>
                  <w:r w:rsidR="00254BD6" w:rsidRPr="001B0CDA">
                    <w:rPr>
                      <w:rStyle w:val="A4"/>
                      <w:bCs/>
                      <w:i/>
                      <w:iCs/>
                    </w:rPr>
                    <w:t>6</w:t>
                  </w:r>
                  <w:r w:rsidR="007C385D" w:rsidRPr="001B0CDA">
                    <w:rPr>
                      <w:rStyle w:val="A4"/>
                      <w:bCs/>
                      <w:i/>
                      <w:iCs/>
                    </w:rPr>
                    <w:t>6</w:t>
                  </w:r>
                  <w:r w:rsidRPr="001B0CDA">
                    <w:rPr>
                      <w:rStyle w:val="A4"/>
                      <w:bCs/>
                      <w:i/>
                      <w:iCs/>
                    </w:rPr>
                    <w:t>)</w:t>
                  </w:r>
                </w:p>
              </w:tc>
              <w:tc>
                <w:tcPr>
                  <w:tcW w:w="1417" w:type="dxa"/>
                </w:tcPr>
                <w:p w14:paraId="531AF384" w14:textId="054AADA1" w:rsidR="002C7A9A" w:rsidRPr="001B0CDA" w:rsidRDefault="002C7A9A" w:rsidP="00F013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1B0CDA">
                    <w:rPr>
                      <w:rStyle w:val="A4"/>
                      <w:bCs/>
                    </w:rPr>
                    <w:t xml:space="preserve"> Abnormal</w:t>
                  </w:r>
                  <w:r w:rsidR="00F01352" w:rsidRPr="001B0CDA">
                    <w:rPr>
                      <w:rStyle w:val="A4"/>
                      <w:bCs/>
                    </w:rPr>
                    <w:t xml:space="preserve"> (%)</w:t>
                  </w:r>
                </w:p>
              </w:tc>
              <w:tc>
                <w:tcPr>
                  <w:tcW w:w="1550" w:type="dxa"/>
                </w:tcPr>
                <w:p w14:paraId="58C1A3EC" w14:textId="2EAD23CC" w:rsidR="002C7A9A" w:rsidRPr="001B0CDA" w:rsidRDefault="002C7A9A" w:rsidP="00CA605D">
                  <w:pPr>
                    <w:pStyle w:val="Pa12"/>
                    <w:jc w:val="center"/>
                    <w:rPr>
                      <w:rStyle w:val="A4"/>
                      <w:bCs/>
                    </w:rPr>
                  </w:pPr>
                  <w:r w:rsidRPr="001B0CDA">
                    <w:rPr>
                      <w:rStyle w:val="A4"/>
                      <w:bCs/>
                    </w:rPr>
                    <w:t>1-month</w:t>
                  </w:r>
                  <w:r w:rsidR="006E554E" w:rsidRPr="001B0CDA">
                    <w:rPr>
                      <w:rStyle w:val="A4"/>
                      <w:bCs/>
                    </w:rPr>
                    <w:t xml:space="preserve"> post</w:t>
                  </w:r>
                </w:p>
                <w:p w14:paraId="4BFCE63F" w14:textId="0286566C" w:rsidR="002C7A9A" w:rsidRPr="001B0CDA" w:rsidRDefault="002C7A9A" w:rsidP="00CA605D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1B0CDA">
                    <w:rPr>
                      <w:rStyle w:val="A4"/>
                      <w:bCs/>
                      <w:i/>
                      <w:iCs/>
                    </w:rPr>
                    <w:t>(n=</w:t>
                  </w:r>
                  <w:r w:rsidR="000A7549" w:rsidRPr="001B0CDA">
                    <w:rPr>
                      <w:rStyle w:val="A4"/>
                      <w:bCs/>
                      <w:i/>
                      <w:iCs/>
                    </w:rPr>
                    <w:t>6</w:t>
                  </w:r>
                  <w:r w:rsidR="007C385D" w:rsidRPr="001B0CDA">
                    <w:rPr>
                      <w:rStyle w:val="A4"/>
                      <w:bCs/>
                      <w:i/>
                      <w:iCs/>
                    </w:rPr>
                    <w:t>6</w:t>
                  </w:r>
                  <w:r w:rsidRPr="001B0CDA">
                    <w:rPr>
                      <w:rStyle w:val="A4"/>
                      <w:bCs/>
                      <w:i/>
                      <w:iCs/>
                    </w:rPr>
                    <w:t>)</w:t>
                  </w:r>
                </w:p>
              </w:tc>
              <w:tc>
                <w:tcPr>
                  <w:tcW w:w="1434" w:type="dxa"/>
                </w:tcPr>
                <w:p w14:paraId="4019C9D1" w14:textId="5A7ED223" w:rsidR="002C7A9A" w:rsidRPr="001B0CDA" w:rsidRDefault="002C7A9A" w:rsidP="00CA605D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1B0CDA">
                    <w:rPr>
                      <w:rStyle w:val="A4"/>
                      <w:bCs/>
                    </w:rPr>
                    <w:t>Abnormal</w:t>
                  </w:r>
                  <w:r w:rsidR="00F01352" w:rsidRPr="001B0CDA">
                    <w:rPr>
                      <w:rStyle w:val="A4"/>
                      <w:bCs/>
                    </w:rPr>
                    <w:t xml:space="preserve"> (%)</w:t>
                  </w:r>
                </w:p>
              </w:tc>
            </w:tr>
            <w:tr w:rsidR="002C7A9A" w:rsidRPr="001B0CDA" w14:paraId="159A78AC" w14:textId="77777777" w:rsidTr="00254BD6">
              <w:trPr>
                <w:trHeight w:val="493"/>
              </w:trPr>
              <w:tc>
                <w:tcPr>
                  <w:tcW w:w="883" w:type="dxa"/>
                  <w:vAlign w:val="center"/>
                </w:tcPr>
                <w:p w14:paraId="5B2AB8AB" w14:textId="372733DA" w:rsidR="002C7A9A" w:rsidRPr="001B0CDA" w:rsidRDefault="002C7A9A" w:rsidP="00CA605D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1B0CDA">
                    <w:rPr>
                      <w:sz w:val="22"/>
                      <w:szCs w:val="22"/>
                    </w:rPr>
                    <w:t>PSC</w:t>
                  </w:r>
                </w:p>
              </w:tc>
              <w:tc>
                <w:tcPr>
                  <w:tcW w:w="1686" w:type="dxa"/>
                  <w:vAlign w:val="center"/>
                </w:tcPr>
                <w:p w14:paraId="10FB6EE3" w14:textId="77FB6CB2" w:rsidR="002C7A9A" w:rsidRPr="001B0CDA" w:rsidRDefault="002C7A9A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0CDA">
                    <w:rPr>
                      <w:rStyle w:val="A4"/>
                      <w:bCs/>
                    </w:rPr>
                    <w:t>10 (5-14)</w:t>
                  </w:r>
                </w:p>
              </w:tc>
              <w:tc>
                <w:tcPr>
                  <w:tcW w:w="1417" w:type="dxa"/>
                  <w:vAlign w:val="center"/>
                </w:tcPr>
                <w:p w14:paraId="18D9AA1F" w14:textId="4CEEEE31" w:rsidR="002C7A9A" w:rsidRPr="001B0CDA" w:rsidRDefault="00EF6C7E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0CDA">
                    <w:rPr>
                      <w:rStyle w:val="A4"/>
                      <w:bCs/>
                    </w:rPr>
                    <w:t>2</w:t>
                  </w:r>
                  <w:r w:rsidR="00C650D9" w:rsidRPr="001B0CDA">
                    <w:rPr>
                      <w:rStyle w:val="A4"/>
                      <w:bCs/>
                    </w:rPr>
                    <w:t>3</w:t>
                  </w:r>
                  <w:r w:rsidRPr="001B0CDA">
                    <w:rPr>
                      <w:rStyle w:val="A4"/>
                      <w:bCs/>
                    </w:rPr>
                    <w:t xml:space="preserve"> (</w:t>
                  </w:r>
                  <w:r w:rsidR="00C650D9" w:rsidRPr="001B0CDA">
                    <w:rPr>
                      <w:rStyle w:val="A4"/>
                      <w:bCs/>
                    </w:rPr>
                    <w:t>23.5</w:t>
                  </w:r>
                  <w:r w:rsidR="002C7A9A" w:rsidRPr="001B0CDA">
                    <w:rPr>
                      <w:rStyle w:val="A4"/>
                      <w:bCs/>
                    </w:rPr>
                    <w:t>%</w:t>
                  </w:r>
                  <w:r w:rsidRPr="001B0CDA">
                    <w:rPr>
                      <w:rStyle w:val="A4"/>
                      <w:bCs/>
                    </w:rPr>
                    <w:t>)</w:t>
                  </w:r>
                </w:p>
              </w:tc>
              <w:tc>
                <w:tcPr>
                  <w:tcW w:w="1843" w:type="dxa"/>
                  <w:vAlign w:val="center"/>
                </w:tcPr>
                <w:p w14:paraId="71602ED1" w14:textId="270DE7FC" w:rsidR="002C7A9A" w:rsidRPr="001B0CDA" w:rsidRDefault="002656A0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0CDA">
                    <w:rPr>
                      <w:rStyle w:val="A4"/>
                      <w:bCs/>
                    </w:rPr>
                    <w:t>9</w:t>
                  </w:r>
                  <w:r w:rsidR="0000697A" w:rsidRPr="001B0CDA">
                    <w:rPr>
                      <w:rStyle w:val="A4"/>
                      <w:bCs/>
                    </w:rPr>
                    <w:t>.5</w:t>
                  </w:r>
                  <w:r w:rsidR="002C7A9A" w:rsidRPr="001B0CDA">
                    <w:rPr>
                      <w:rStyle w:val="A4"/>
                      <w:bCs/>
                    </w:rPr>
                    <w:t xml:space="preserve"> (</w:t>
                  </w:r>
                  <w:r w:rsidR="00254BD6" w:rsidRPr="001B0CDA">
                    <w:rPr>
                      <w:rStyle w:val="A4"/>
                      <w:bCs/>
                    </w:rPr>
                    <w:t>5-12</w:t>
                  </w:r>
                  <w:r w:rsidR="002C7A9A" w:rsidRPr="001B0CDA">
                    <w:rPr>
                      <w:rStyle w:val="A4"/>
                      <w:bCs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14:paraId="11F0F3AD" w14:textId="0F453DAB" w:rsidR="002C7A9A" w:rsidRPr="001B0CDA" w:rsidRDefault="002656A0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0CDA">
                    <w:rPr>
                      <w:rStyle w:val="A4"/>
                      <w:bCs/>
                    </w:rPr>
                    <w:t>11</w:t>
                  </w:r>
                  <w:r w:rsidR="00EF6C7E" w:rsidRPr="001B0CDA">
                    <w:rPr>
                      <w:rStyle w:val="A4"/>
                      <w:bCs/>
                    </w:rPr>
                    <w:t xml:space="preserve"> (</w:t>
                  </w:r>
                  <w:r w:rsidR="0000697A" w:rsidRPr="001B0CDA">
                    <w:rPr>
                      <w:rStyle w:val="A4"/>
                      <w:bCs/>
                    </w:rPr>
                    <w:t>16.7</w:t>
                  </w:r>
                  <w:r w:rsidR="002C7A9A" w:rsidRPr="001B0CDA">
                    <w:rPr>
                      <w:rStyle w:val="A4"/>
                      <w:bCs/>
                    </w:rPr>
                    <w:t>%</w:t>
                  </w:r>
                  <w:r w:rsidR="00EF6C7E" w:rsidRPr="001B0CDA">
                    <w:rPr>
                      <w:rStyle w:val="A4"/>
                      <w:bCs/>
                    </w:rPr>
                    <w:t>)</w:t>
                  </w:r>
                </w:p>
              </w:tc>
              <w:tc>
                <w:tcPr>
                  <w:tcW w:w="1550" w:type="dxa"/>
                  <w:vAlign w:val="center"/>
                </w:tcPr>
                <w:p w14:paraId="63C0EF1D" w14:textId="68BD5AA8" w:rsidR="002C7A9A" w:rsidRPr="001B0CDA" w:rsidRDefault="002656A0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0CDA">
                    <w:rPr>
                      <w:rStyle w:val="A4"/>
                      <w:bCs/>
                    </w:rPr>
                    <w:t>9</w:t>
                  </w:r>
                  <w:r w:rsidR="0000697A" w:rsidRPr="001B0CDA">
                    <w:rPr>
                      <w:rStyle w:val="A4"/>
                      <w:bCs/>
                    </w:rPr>
                    <w:t>.5</w:t>
                  </w:r>
                  <w:r w:rsidR="002C7A9A" w:rsidRPr="001B0CDA">
                    <w:rPr>
                      <w:rStyle w:val="A4"/>
                      <w:bCs/>
                    </w:rPr>
                    <w:t xml:space="preserve"> (</w:t>
                  </w:r>
                  <w:r w:rsidR="0000697A" w:rsidRPr="001B0CDA">
                    <w:rPr>
                      <w:rStyle w:val="A4"/>
                      <w:bCs/>
                    </w:rPr>
                    <w:t>6</w:t>
                  </w:r>
                  <w:r w:rsidRPr="001B0CDA">
                    <w:rPr>
                      <w:rStyle w:val="A4"/>
                      <w:bCs/>
                    </w:rPr>
                    <w:t>-13</w:t>
                  </w:r>
                  <w:r w:rsidR="002C7A9A" w:rsidRPr="001B0CDA">
                    <w:rPr>
                      <w:rStyle w:val="A4"/>
                      <w:bCs/>
                    </w:rPr>
                    <w:t>)</w:t>
                  </w:r>
                </w:p>
              </w:tc>
              <w:tc>
                <w:tcPr>
                  <w:tcW w:w="1434" w:type="dxa"/>
                  <w:vAlign w:val="center"/>
                </w:tcPr>
                <w:p w14:paraId="7BA21F5F" w14:textId="35F53110" w:rsidR="002C7A9A" w:rsidRPr="001B0CDA" w:rsidRDefault="00254BD6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0CDA">
                    <w:rPr>
                      <w:rStyle w:val="A4"/>
                      <w:bCs/>
                    </w:rPr>
                    <w:t>12</w:t>
                  </w:r>
                  <w:r w:rsidR="00EF6C7E" w:rsidRPr="001B0CDA">
                    <w:rPr>
                      <w:rStyle w:val="A4"/>
                      <w:bCs/>
                    </w:rPr>
                    <w:t xml:space="preserve"> (</w:t>
                  </w:r>
                  <w:r w:rsidR="0000697A" w:rsidRPr="001B0CDA">
                    <w:rPr>
                      <w:rStyle w:val="A4"/>
                      <w:bCs/>
                    </w:rPr>
                    <w:t>18.2</w:t>
                  </w:r>
                  <w:r w:rsidR="002C7A9A" w:rsidRPr="001B0CDA">
                    <w:rPr>
                      <w:rStyle w:val="A4"/>
                      <w:bCs/>
                    </w:rPr>
                    <w:t>%</w:t>
                  </w:r>
                  <w:r w:rsidR="00EF6C7E" w:rsidRPr="001B0CDA">
                    <w:rPr>
                      <w:rStyle w:val="A4"/>
                      <w:bCs/>
                    </w:rPr>
                    <w:t>)</w:t>
                  </w:r>
                </w:p>
              </w:tc>
            </w:tr>
            <w:tr w:rsidR="002C7A9A" w:rsidRPr="001B0CDA" w14:paraId="36D03455" w14:textId="77777777" w:rsidTr="002656A0">
              <w:trPr>
                <w:trHeight w:val="493"/>
              </w:trPr>
              <w:tc>
                <w:tcPr>
                  <w:tcW w:w="883" w:type="dxa"/>
                  <w:vAlign w:val="center"/>
                </w:tcPr>
                <w:p w14:paraId="62142D62" w14:textId="2E0CA0C8" w:rsidR="002C7A9A" w:rsidRPr="001B0CDA" w:rsidRDefault="002C7A9A" w:rsidP="00CA605D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1B0CDA">
                    <w:rPr>
                      <w:sz w:val="22"/>
                      <w:szCs w:val="22"/>
                    </w:rPr>
                    <w:t>SDSC</w:t>
                  </w:r>
                </w:p>
              </w:tc>
              <w:tc>
                <w:tcPr>
                  <w:tcW w:w="1686" w:type="dxa"/>
                  <w:shd w:val="clear" w:color="auto" w:fill="auto"/>
                  <w:vAlign w:val="center"/>
                </w:tcPr>
                <w:p w14:paraId="3B1DECB5" w14:textId="2A557B62" w:rsidR="002C7A9A" w:rsidRPr="001B0CDA" w:rsidRDefault="000A7549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0CDA">
                    <w:rPr>
                      <w:rStyle w:val="A4"/>
                      <w:bCs/>
                    </w:rPr>
                    <w:t>38</w:t>
                  </w:r>
                  <w:r w:rsidR="002656A0" w:rsidRPr="001B0CDA">
                    <w:rPr>
                      <w:rStyle w:val="A4"/>
                      <w:bCs/>
                    </w:rPr>
                    <w:t>.5</w:t>
                  </w:r>
                  <w:r w:rsidR="002C7A9A" w:rsidRPr="001B0CDA">
                    <w:rPr>
                      <w:rStyle w:val="A4"/>
                      <w:bCs/>
                    </w:rPr>
                    <w:t xml:space="preserve"> (</w:t>
                  </w:r>
                  <w:r w:rsidRPr="001B0CDA">
                    <w:rPr>
                      <w:rStyle w:val="A4"/>
                      <w:bCs/>
                    </w:rPr>
                    <w:t>33</w:t>
                  </w:r>
                  <w:r w:rsidR="002C7A9A" w:rsidRPr="001B0CDA">
                    <w:rPr>
                      <w:rStyle w:val="A4"/>
                      <w:bCs/>
                    </w:rPr>
                    <w:t>-4</w:t>
                  </w:r>
                  <w:r w:rsidRPr="001B0CDA">
                    <w:rPr>
                      <w:rStyle w:val="A4"/>
                      <w:bCs/>
                    </w:rPr>
                    <w:t>6</w:t>
                  </w:r>
                  <w:r w:rsidR="002C7A9A" w:rsidRPr="001B0CDA">
                    <w:rPr>
                      <w:rStyle w:val="A4"/>
                      <w:bCs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14:paraId="060EA902" w14:textId="42EEAB8C" w:rsidR="002C7A9A" w:rsidRPr="001B0CDA" w:rsidRDefault="002656A0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0CDA">
                    <w:rPr>
                      <w:rStyle w:val="A4"/>
                      <w:bCs/>
                    </w:rPr>
                    <w:t>1</w:t>
                  </w:r>
                  <w:r w:rsidRPr="001B0CDA">
                    <w:rPr>
                      <w:rStyle w:val="A4"/>
                    </w:rPr>
                    <w:t>8</w:t>
                  </w:r>
                  <w:r w:rsidR="00F01352" w:rsidRPr="001B0CDA">
                    <w:rPr>
                      <w:rStyle w:val="A4"/>
                      <w:bCs/>
                    </w:rPr>
                    <w:t xml:space="preserve"> (</w:t>
                  </w:r>
                  <w:r w:rsidRPr="001B0CDA">
                    <w:rPr>
                      <w:rStyle w:val="A4"/>
                      <w:bCs/>
                    </w:rPr>
                    <w:t>1</w:t>
                  </w:r>
                  <w:r w:rsidRPr="001B0CDA">
                    <w:rPr>
                      <w:rStyle w:val="A4"/>
                    </w:rPr>
                    <w:t>8.4</w:t>
                  </w:r>
                  <w:r w:rsidR="002C7A9A" w:rsidRPr="001B0CDA">
                    <w:rPr>
                      <w:rStyle w:val="A4"/>
                      <w:bCs/>
                    </w:rPr>
                    <w:t>%</w:t>
                  </w:r>
                  <w:r w:rsidR="00F01352" w:rsidRPr="001B0CDA">
                    <w:rPr>
                      <w:rStyle w:val="A4"/>
                      <w:bCs/>
                    </w:rPr>
                    <w:t>)</w:t>
                  </w:r>
                </w:p>
              </w:tc>
              <w:tc>
                <w:tcPr>
                  <w:tcW w:w="1843" w:type="dxa"/>
                  <w:vAlign w:val="center"/>
                </w:tcPr>
                <w:p w14:paraId="7B766F9D" w14:textId="23A920A1" w:rsidR="002C7A9A" w:rsidRPr="001B0CDA" w:rsidRDefault="002C7A9A" w:rsidP="00CA605D">
                  <w:pPr>
                    <w:pStyle w:val="Default"/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1B0CDA">
                    <w:rPr>
                      <w:rStyle w:val="A4"/>
                      <w:bCs/>
                    </w:rPr>
                    <w:t>3</w:t>
                  </w:r>
                  <w:r w:rsidR="000A7549" w:rsidRPr="001B0CDA">
                    <w:rPr>
                      <w:rStyle w:val="A4"/>
                      <w:bCs/>
                    </w:rPr>
                    <w:t>8</w:t>
                  </w:r>
                  <w:r w:rsidRPr="001B0CDA">
                    <w:rPr>
                      <w:rStyle w:val="A4"/>
                      <w:bCs/>
                    </w:rPr>
                    <w:t xml:space="preserve"> (3</w:t>
                  </w:r>
                  <w:r w:rsidR="000A7549" w:rsidRPr="001B0CDA">
                    <w:rPr>
                      <w:rStyle w:val="A4"/>
                      <w:bCs/>
                    </w:rPr>
                    <w:t>4</w:t>
                  </w:r>
                  <w:r w:rsidRPr="001B0CDA">
                    <w:rPr>
                      <w:rStyle w:val="A4"/>
                      <w:bCs/>
                    </w:rPr>
                    <w:t>-4</w:t>
                  </w:r>
                  <w:r w:rsidR="00CB4584" w:rsidRPr="001B0CDA">
                    <w:rPr>
                      <w:rStyle w:val="A4"/>
                      <w:bCs/>
                    </w:rPr>
                    <w:t>5</w:t>
                  </w:r>
                  <w:r w:rsidRPr="001B0CDA">
                    <w:rPr>
                      <w:rStyle w:val="A4"/>
                      <w:bCs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14:paraId="09A4DB97" w14:textId="3CB10ECB" w:rsidR="002C7A9A" w:rsidRPr="001B0CDA" w:rsidRDefault="000A7549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0CDA">
                    <w:rPr>
                      <w:rStyle w:val="A4"/>
                      <w:bCs/>
                    </w:rPr>
                    <w:t>12</w:t>
                  </w:r>
                  <w:r w:rsidR="00EF6C7E" w:rsidRPr="001B0CDA">
                    <w:rPr>
                      <w:rStyle w:val="A4"/>
                      <w:bCs/>
                    </w:rPr>
                    <w:t xml:space="preserve"> (</w:t>
                  </w:r>
                  <w:r w:rsidR="00CB4584" w:rsidRPr="001B0CDA">
                    <w:rPr>
                      <w:rStyle w:val="A4"/>
                      <w:bCs/>
                    </w:rPr>
                    <w:t>18.2</w:t>
                  </w:r>
                  <w:r w:rsidR="002C7A9A" w:rsidRPr="001B0CDA">
                    <w:rPr>
                      <w:rStyle w:val="A4"/>
                      <w:bCs/>
                    </w:rPr>
                    <w:t>%</w:t>
                  </w:r>
                  <w:r w:rsidR="00EF6C7E" w:rsidRPr="001B0CDA">
                    <w:rPr>
                      <w:rStyle w:val="A4"/>
                      <w:bCs/>
                    </w:rPr>
                    <w:t>)</w:t>
                  </w:r>
                </w:p>
              </w:tc>
              <w:tc>
                <w:tcPr>
                  <w:tcW w:w="1550" w:type="dxa"/>
                  <w:vAlign w:val="center"/>
                </w:tcPr>
                <w:p w14:paraId="1488E595" w14:textId="1A680589" w:rsidR="002C7A9A" w:rsidRPr="001B0CDA" w:rsidRDefault="00CB4584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  <w:vertAlign w:val="superscript"/>
                    </w:rPr>
                  </w:pPr>
                  <w:r w:rsidRPr="001B0CDA">
                    <w:rPr>
                      <w:rStyle w:val="A4"/>
                      <w:bCs/>
                    </w:rPr>
                    <w:t>39.5</w:t>
                  </w:r>
                  <w:r w:rsidR="002C7A9A" w:rsidRPr="001B0CDA">
                    <w:rPr>
                      <w:rStyle w:val="A4"/>
                      <w:bCs/>
                    </w:rPr>
                    <w:t xml:space="preserve"> (</w:t>
                  </w:r>
                  <w:r w:rsidRPr="001B0CDA">
                    <w:rPr>
                      <w:rStyle w:val="A4"/>
                      <w:bCs/>
                    </w:rPr>
                    <w:t>33-47</w:t>
                  </w:r>
                  <w:r w:rsidR="002C7A9A" w:rsidRPr="001B0CDA">
                    <w:rPr>
                      <w:rStyle w:val="A4"/>
                      <w:bCs/>
                    </w:rPr>
                    <w:t>)</w:t>
                  </w:r>
                </w:p>
              </w:tc>
              <w:tc>
                <w:tcPr>
                  <w:tcW w:w="1434" w:type="dxa"/>
                  <w:vAlign w:val="center"/>
                </w:tcPr>
                <w:p w14:paraId="62DC41AB" w14:textId="2C35545B" w:rsidR="002C7A9A" w:rsidRPr="001B0CDA" w:rsidRDefault="000D1B54" w:rsidP="00CA605D">
                  <w:pPr>
                    <w:pStyle w:val="Default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B0CDA">
                    <w:rPr>
                      <w:rStyle w:val="A4"/>
                      <w:bCs/>
                    </w:rPr>
                    <w:t>1</w:t>
                  </w:r>
                  <w:r w:rsidR="000A7549" w:rsidRPr="001B0CDA">
                    <w:rPr>
                      <w:rStyle w:val="A4"/>
                      <w:bCs/>
                    </w:rPr>
                    <w:t>1</w:t>
                  </w:r>
                  <w:r w:rsidR="00EF6C7E" w:rsidRPr="001B0CDA">
                    <w:rPr>
                      <w:rStyle w:val="A4"/>
                      <w:bCs/>
                    </w:rPr>
                    <w:t xml:space="preserve"> (</w:t>
                  </w:r>
                  <w:r w:rsidR="00CB4584" w:rsidRPr="001B0CDA">
                    <w:rPr>
                      <w:rStyle w:val="A4"/>
                      <w:bCs/>
                    </w:rPr>
                    <w:t>16.7</w:t>
                  </w:r>
                  <w:r w:rsidR="002C7A9A" w:rsidRPr="001B0CDA">
                    <w:rPr>
                      <w:rStyle w:val="A4"/>
                      <w:bCs/>
                    </w:rPr>
                    <w:t>%</w:t>
                  </w:r>
                  <w:r w:rsidR="00EF6C7E" w:rsidRPr="001B0CDA">
                    <w:rPr>
                      <w:rStyle w:val="A4"/>
                      <w:bCs/>
                    </w:rPr>
                    <w:t>)</w:t>
                  </w:r>
                </w:p>
              </w:tc>
            </w:tr>
          </w:tbl>
          <w:p w14:paraId="273C9CA5" w14:textId="77777777" w:rsidR="0000697A" w:rsidRPr="001B0CDA" w:rsidRDefault="0000697A" w:rsidP="005878AF">
            <w:pPr>
              <w:pStyle w:val="Pa12"/>
              <w:rPr>
                <w:rStyle w:val="A4"/>
                <w:b/>
                <w:bCs/>
              </w:rPr>
            </w:pPr>
          </w:p>
          <w:p w14:paraId="347050E2" w14:textId="051F924F" w:rsidR="005878AF" w:rsidRPr="001B0CDA" w:rsidRDefault="005878AF" w:rsidP="005878AF">
            <w:pPr>
              <w:pStyle w:val="Pa12"/>
              <w:rPr>
                <w:sz w:val="22"/>
                <w:szCs w:val="22"/>
              </w:rPr>
            </w:pPr>
            <w:r w:rsidRPr="001B0CDA">
              <w:rPr>
                <w:rStyle w:val="A4"/>
                <w:b/>
                <w:bCs/>
              </w:rPr>
              <w:t xml:space="preserve">Conclusion: </w:t>
            </w:r>
            <w:r w:rsidR="001648F4" w:rsidRPr="001B0CDA">
              <w:rPr>
                <w:sz w:val="22"/>
                <w:szCs w:val="22"/>
              </w:rPr>
              <w:t xml:space="preserve">Our preliminary </w:t>
            </w:r>
            <w:r w:rsidR="0009665F" w:rsidRPr="001B0CDA">
              <w:rPr>
                <w:sz w:val="22"/>
                <w:szCs w:val="22"/>
              </w:rPr>
              <w:t>data suggest</w:t>
            </w:r>
            <w:r w:rsidR="0053352E" w:rsidRPr="001B0CDA">
              <w:rPr>
                <w:sz w:val="22"/>
                <w:szCs w:val="22"/>
              </w:rPr>
              <w:t xml:space="preserve"> </w:t>
            </w:r>
            <w:r w:rsidR="00886401" w:rsidRPr="001B0CDA">
              <w:rPr>
                <w:sz w:val="22"/>
                <w:szCs w:val="22"/>
              </w:rPr>
              <w:t>there</w:t>
            </w:r>
            <w:r w:rsidR="00DD3B72" w:rsidRPr="001B0CDA">
              <w:rPr>
                <w:sz w:val="22"/>
                <w:szCs w:val="22"/>
              </w:rPr>
              <w:t xml:space="preserve"> </w:t>
            </w:r>
            <w:r w:rsidR="00716DDB" w:rsidRPr="001B0CDA">
              <w:rPr>
                <w:sz w:val="22"/>
                <w:szCs w:val="22"/>
              </w:rPr>
              <w:t>are</w:t>
            </w:r>
            <w:r w:rsidR="00DD3B72" w:rsidRPr="001B0CDA">
              <w:rPr>
                <w:sz w:val="22"/>
                <w:szCs w:val="22"/>
              </w:rPr>
              <w:t xml:space="preserve"> no significant change</w:t>
            </w:r>
            <w:r w:rsidR="00716DDB" w:rsidRPr="001B0CDA">
              <w:rPr>
                <w:sz w:val="22"/>
                <w:szCs w:val="22"/>
              </w:rPr>
              <w:t>s</w:t>
            </w:r>
            <w:r w:rsidR="00DD3B72" w:rsidRPr="001B0CDA">
              <w:rPr>
                <w:sz w:val="22"/>
                <w:szCs w:val="22"/>
              </w:rPr>
              <w:t xml:space="preserve"> in </w:t>
            </w:r>
            <w:r w:rsidR="00C96099" w:rsidRPr="001B0CDA">
              <w:rPr>
                <w:sz w:val="22"/>
                <w:szCs w:val="22"/>
              </w:rPr>
              <w:t>mental health and sleep</w:t>
            </w:r>
            <w:r w:rsidR="00716DDB" w:rsidRPr="001B0CDA">
              <w:rPr>
                <w:sz w:val="22"/>
                <w:szCs w:val="22"/>
              </w:rPr>
              <w:t xml:space="preserve"> scores</w:t>
            </w:r>
            <w:r w:rsidR="00C96099" w:rsidRPr="001B0CDA">
              <w:rPr>
                <w:sz w:val="22"/>
                <w:szCs w:val="22"/>
              </w:rPr>
              <w:t xml:space="preserve"> in </w:t>
            </w:r>
            <w:r w:rsidR="00921B59" w:rsidRPr="001B0CDA">
              <w:rPr>
                <w:sz w:val="22"/>
                <w:szCs w:val="22"/>
              </w:rPr>
              <w:t>the first month of ETI therapy in</w:t>
            </w:r>
            <w:r w:rsidR="00B33291" w:rsidRPr="001B0CDA">
              <w:rPr>
                <w:sz w:val="22"/>
                <w:szCs w:val="22"/>
              </w:rPr>
              <w:t xml:space="preserve"> children 6-11yrs</w:t>
            </w:r>
            <w:r w:rsidR="001648F4" w:rsidRPr="001B0CDA">
              <w:rPr>
                <w:sz w:val="22"/>
                <w:szCs w:val="22"/>
              </w:rPr>
              <w:t xml:space="preserve">. A </w:t>
            </w:r>
            <w:r w:rsidR="006E554E" w:rsidRPr="001B0CDA">
              <w:rPr>
                <w:sz w:val="22"/>
                <w:szCs w:val="22"/>
              </w:rPr>
              <w:t>larger longitudinal study</w:t>
            </w:r>
            <w:r w:rsidR="001648F4" w:rsidRPr="001B0CDA">
              <w:rPr>
                <w:sz w:val="22"/>
                <w:szCs w:val="22"/>
              </w:rPr>
              <w:t xml:space="preserve"> is planned to address this question more fully. </w:t>
            </w:r>
          </w:p>
          <w:p w14:paraId="53DBC6BE" w14:textId="77777777" w:rsidR="005878AF" w:rsidRPr="001B0CDA" w:rsidRDefault="005878AF" w:rsidP="005878AF">
            <w:pPr>
              <w:pStyle w:val="Default"/>
              <w:rPr>
                <w:sz w:val="22"/>
                <w:szCs w:val="22"/>
              </w:rPr>
            </w:pPr>
          </w:p>
          <w:p w14:paraId="6D69D7D8" w14:textId="6FCAF3C4" w:rsidR="005878AF" w:rsidRPr="001B0CDA" w:rsidRDefault="005878AF" w:rsidP="005878AF">
            <w:pPr>
              <w:pStyle w:val="Pa12"/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</w:pPr>
            <w:r w:rsidRPr="001B0CDA">
              <w:rPr>
                <w:rStyle w:val="A4"/>
                <w:b/>
                <w:bCs/>
              </w:rPr>
              <w:t xml:space="preserve">Key Words: </w:t>
            </w:r>
            <w:r w:rsidRPr="001B0CDA">
              <w:rPr>
                <w:rStyle w:val="A4"/>
                <w:bCs/>
              </w:rPr>
              <w:t xml:space="preserve">Cystic Fibrosis, </w:t>
            </w:r>
            <w:proofErr w:type="spellStart"/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Elexacaftor</w:t>
            </w:r>
            <w:proofErr w:type="spellEnd"/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/</w:t>
            </w:r>
            <w:proofErr w:type="spellStart"/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tezacaftor</w:t>
            </w:r>
            <w:proofErr w:type="spellEnd"/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/ivacaftor, </w:t>
            </w:r>
            <w:r w:rsidR="00534976"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P</w:t>
            </w:r>
            <w:r w:rsidR="00534976" w:rsidRPr="001B0CDA">
              <w:rPr>
                <w:rFonts w:eastAsiaTheme="minorHAnsi"/>
                <w:sz w:val="22"/>
                <w:szCs w:val="22"/>
                <w:lang w:val="en-AU"/>
              </w:rPr>
              <w:t>aediatric</w:t>
            </w:r>
            <w:r w:rsidRPr="001B0CDA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, Mental Health, Sleep Disturbance</w:t>
            </w:r>
          </w:p>
          <w:p w14:paraId="2B6DB913" w14:textId="77777777" w:rsidR="00F80AAF" w:rsidRPr="001B0CDA" w:rsidRDefault="00F80AAF" w:rsidP="00F80AAF">
            <w:pPr>
              <w:pStyle w:val="Default"/>
              <w:rPr>
                <w:sz w:val="22"/>
                <w:szCs w:val="22"/>
                <w:lang w:val="en-AU" w:eastAsia="en-US"/>
              </w:rPr>
            </w:pPr>
          </w:p>
          <w:p w14:paraId="45ED36BF" w14:textId="02BAF289" w:rsidR="00171948" w:rsidRPr="001B0CDA" w:rsidRDefault="005878AF" w:rsidP="00975C8B">
            <w:pPr>
              <w:pStyle w:val="Caption"/>
              <w:rPr>
                <w:rFonts w:ascii="Arial" w:hAnsi="Arial" w:cs="Arial"/>
                <w:i w:val="0"/>
                <w:iCs w:val="0"/>
                <w:sz w:val="22"/>
                <w:szCs w:val="22"/>
                <w:lang w:val="en-US" w:eastAsia="en-GB"/>
              </w:rPr>
            </w:pPr>
            <w:r w:rsidRPr="001B0CDA">
              <w:rPr>
                <w:rStyle w:val="A4"/>
                <w:rFonts w:ascii="Arial" w:hAnsi="Arial" w:cs="Arial"/>
                <w:b/>
                <w:bCs/>
                <w:i w:val="0"/>
                <w:iCs w:val="0"/>
              </w:rPr>
              <w:t xml:space="preserve">Grant Support: </w:t>
            </w:r>
            <w:r w:rsidR="000900C5" w:rsidRPr="001B0CDA">
              <w:rPr>
                <w:rStyle w:val="A4"/>
                <w:rFonts w:ascii="Arial" w:hAnsi="Arial" w:cs="Arial"/>
                <w:i w:val="0"/>
                <w:iCs w:val="0"/>
              </w:rPr>
              <w:t>This work has been supported by the Cystic Fibrosis Foundation (USA)</w:t>
            </w:r>
            <w:r w:rsidR="00417DB2" w:rsidRPr="001B0CDA">
              <w:rPr>
                <w:rStyle w:val="A4"/>
                <w:rFonts w:ascii="Arial" w:hAnsi="Arial" w:cs="Arial"/>
                <w:i w:val="0"/>
                <w:iCs w:val="0"/>
              </w:rPr>
              <w:t xml:space="preserve"> and Child Health Foundation (AUS).</w:t>
            </w:r>
            <w:r w:rsidR="000900C5" w:rsidRPr="001B0CDA">
              <w:rPr>
                <w:rStyle w:val="A4"/>
                <w:rFonts w:ascii="Arial" w:hAnsi="Arial" w:cs="Arial"/>
                <w:b/>
                <w:bCs/>
                <w:i w:val="0"/>
                <w:iCs w:val="0"/>
              </w:rPr>
              <w:t xml:space="preserve"> </w:t>
            </w:r>
          </w:p>
        </w:tc>
      </w:tr>
    </w:tbl>
    <w:p w14:paraId="7C36A9DC" w14:textId="32A70617" w:rsidR="00E0700F" w:rsidRPr="001B0CDA" w:rsidRDefault="00E0700F" w:rsidP="00F80AAF">
      <w:pPr>
        <w:rPr>
          <w:rFonts w:ascii="Arial" w:hAnsi="Arial" w:cs="Arial"/>
          <w:sz w:val="22"/>
          <w:szCs w:val="22"/>
        </w:rPr>
      </w:pPr>
    </w:p>
    <w:p w14:paraId="59272ABA" w14:textId="77777777" w:rsidR="00F01352" w:rsidRPr="001B0CDA" w:rsidRDefault="00F01352" w:rsidP="00F80AAF">
      <w:pPr>
        <w:rPr>
          <w:rFonts w:ascii="Arial" w:hAnsi="Arial" w:cs="Arial"/>
          <w:sz w:val="22"/>
          <w:szCs w:val="22"/>
        </w:rPr>
      </w:pPr>
    </w:p>
    <w:p w14:paraId="4DA2DD99" w14:textId="3286D703" w:rsidR="00F01352" w:rsidRPr="001B0CDA" w:rsidRDefault="00F01352" w:rsidP="000D1B54">
      <w:pPr>
        <w:rPr>
          <w:rFonts w:ascii="Arial" w:hAnsi="Arial" w:cs="Arial"/>
          <w:sz w:val="22"/>
          <w:szCs w:val="22"/>
        </w:rPr>
      </w:pPr>
    </w:p>
    <w:sectPr w:rsidR="00F01352" w:rsidRPr="001B0CDA" w:rsidSect="00587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ddy Deery" w:date="2023-09-07T11:57:00Z" w:initials="MD">
    <w:p w14:paraId="23D6DF2E" w14:textId="77777777" w:rsidR="00CA605D" w:rsidRDefault="00CA605D" w:rsidP="005117AA">
      <w:pPr>
        <w:pStyle w:val="CommentText"/>
      </w:pPr>
      <w:r>
        <w:rPr>
          <w:rStyle w:val="CommentReference"/>
        </w:rPr>
        <w:annotationRef/>
      </w:r>
      <w:r>
        <w:rPr>
          <w:lang w:val="en-AU"/>
        </w:rPr>
        <w:t xml:space="preserve">10 word limit title </w:t>
      </w:r>
    </w:p>
  </w:comment>
  <w:comment w:id="1" w:author="Tonia Douglas" w:date="2023-09-07T07:34:00Z" w:initials="TD">
    <w:p w14:paraId="4CFB097E" w14:textId="77777777" w:rsidR="00591438" w:rsidRDefault="00591438" w:rsidP="001B2AE9">
      <w:r>
        <w:rPr>
          <w:rStyle w:val="CommentReference"/>
        </w:rPr>
        <w:annotationRef/>
      </w:r>
      <w:r>
        <w:rPr>
          <w:sz w:val="20"/>
          <w:szCs w:val="20"/>
        </w:rPr>
        <w:t>Suggest Mental health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D6DF2E" w15:done="1"/>
  <w15:commentEx w15:paraId="4CFB097E" w15:paraIdParent="23D6DF2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4391F" w16cex:dateUtc="2023-09-07T01:57:00Z"/>
  <w16cex:commentExtensible w16cex:durableId="28A3FB7F" w16cex:dateUtc="2023-09-07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D6DF2E" w16cid:durableId="28A4391F"/>
  <w16cid:commentId w16cid:paraId="4CFB097E" w16cid:durableId="28A3FB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B472B"/>
    <w:multiLevelType w:val="hybridMultilevel"/>
    <w:tmpl w:val="DF264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94F2B"/>
    <w:multiLevelType w:val="hybridMultilevel"/>
    <w:tmpl w:val="95F2D0F4"/>
    <w:lvl w:ilvl="0" w:tplc="D17AF5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53683">
    <w:abstractNumId w:val="0"/>
  </w:num>
  <w:num w:numId="2" w16cid:durableId="10486011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ddy Deery">
    <w15:presenceInfo w15:providerId="AD" w15:userId="S::uqmdeery@uq.edu.au::7dbfc9e3-26ad-4ea2-99d6-84bfb4193213"/>
  </w15:person>
  <w15:person w15:author="Tonia Douglas">
    <w15:presenceInfo w15:providerId="AD" w15:userId="S::Tonia.Douglas@health.qld.gov.au::28db0de7-8523-4571-8b29-8cdb5974b0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697A"/>
    <w:rsid w:val="00013C40"/>
    <w:rsid w:val="000900C5"/>
    <w:rsid w:val="00092D31"/>
    <w:rsid w:val="0009568E"/>
    <w:rsid w:val="0009665F"/>
    <w:rsid w:val="000A56A1"/>
    <w:rsid w:val="000A7549"/>
    <w:rsid w:val="000D1B54"/>
    <w:rsid w:val="000E7CD0"/>
    <w:rsid w:val="000F5A54"/>
    <w:rsid w:val="0010457C"/>
    <w:rsid w:val="00150C0A"/>
    <w:rsid w:val="001564A4"/>
    <w:rsid w:val="001648F4"/>
    <w:rsid w:val="00171948"/>
    <w:rsid w:val="0017273E"/>
    <w:rsid w:val="00182607"/>
    <w:rsid w:val="00191395"/>
    <w:rsid w:val="001B0CDA"/>
    <w:rsid w:val="001B69CE"/>
    <w:rsid w:val="001D5564"/>
    <w:rsid w:val="001F3EEB"/>
    <w:rsid w:val="00214E69"/>
    <w:rsid w:val="00216E70"/>
    <w:rsid w:val="00222608"/>
    <w:rsid w:val="00230743"/>
    <w:rsid w:val="0023115A"/>
    <w:rsid w:val="002348A6"/>
    <w:rsid w:val="00254BD6"/>
    <w:rsid w:val="0026095F"/>
    <w:rsid w:val="002656A0"/>
    <w:rsid w:val="002C7A9A"/>
    <w:rsid w:val="002D1EBE"/>
    <w:rsid w:val="002E6BDD"/>
    <w:rsid w:val="002F379B"/>
    <w:rsid w:val="00321C92"/>
    <w:rsid w:val="00370E8D"/>
    <w:rsid w:val="00394DD1"/>
    <w:rsid w:val="003A1FD3"/>
    <w:rsid w:val="003D4DF7"/>
    <w:rsid w:val="00417DB2"/>
    <w:rsid w:val="0043092D"/>
    <w:rsid w:val="00434AE2"/>
    <w:rsid w:val="00434BA0"/>
    <w:rsid w:val="00442833"/>
    <w:rsid w:val="0045769F"/>
    <w:rsid w:val="004605DB"/>
    <w:rsid w:val="00462541"/>
    <w:rsid w:val="004709D2"/>
    <w:rsid w:val="00485F33"/>
    <w:rsid w:val="0048661F"/>
    <w:rsid w:val="004869A3"/>
    <w:rsid w:val="004A546B"/>
    <w:rsid w:val="004A5716"/>
    <w:rsid w:val="004B6C5E"/>
    <w:rsid w:val="004C2CAC"/>
    <w:rsid w:val="005109D0"/>
    <w:rsid w:val="0051574E"/>
    <w:rsid w:val="005245E0"/>
    <w:rsid w:val="0053352E"/>
    <w:rsid w:val="00534976"/>
    <w:rsid w:val="00546271"/>
    <w:rsid w:val="00547126"/>
    <w:rsid w:val="005574C2"/>
    <w:rsid w:val="005653CF"/>
    <w:rsid w:val="00565E10"/>
    <w:rsid w:val="00577D9C"/>
    <w:rsid w:val="005878AF"/>
    <w:rsid w:val="00591438"/>
    <w:rsid w:val="005A69EE"/>
    <w:rsid w:val="005F5979"/>
    <w:rsid w:val="00604E04"/>
    <w:rsid w:val="00635813"/>
    <w:rsid w:val="0063761B"/>
    <w:rsid w:val="0068183E"/>
    <w:rsid w:val="006C41FE"/>
    <w:rsid w:val="006E554E"/>
    <w:rsid w:val="00716DDB"/>
    <w:rsid w:val="00736D84"/>
    <w:rsid w:val="00766AE3"/>
    <w:rsid w:val="007751D8"/>
    <w:rsid w:val="007917E1"/>
    <w:rsid w:val="007A4A09"/>
    <w:rsid w:val="007A6507"/>
    <w:rsid w:val="007B19DF"/>
    <w:rsid w:val="007C385D"/>
    <w:rsid w:val="007D52D0"/>
    <w:rsid w:val="007F0351"/>
    <w:rsid w:val="00806A21"/>
    <w:rsid w:val="00855A46"/>
    <w:rsid w:val="008803FA"/>
    <w:rsid w:val="00886401"/>
    <w:rsid w:val="008C7832"/>
    <w:rsid w:val="008E7939"/>
    <w:rsid w:val="008F7A5B"/>
    <w:rsid w:val="00921B59"/>
    <w:rsid w:val="00931086"/>
    <w:rsid w:val="00972F08"/>
    <w:rsid w:val="00975C8B"/>
    <w:rsid w:val="009A03CC"/>
    <w:rsid w:val="009B6D38"/>
    <w:rsid w:val="009F2DC0"/>
    <w:rsid w:val="009F4A63"/>
    <w:rsid w:val="009F57FB"/>
    <w:rsid w:val="00A537F9"/>
    <w:rsid w:val="00A54CA8"/>
    <w:rsid w:val="00AC59B9"/>
    <w:rsid w:val="00B12E32"/>
    <w:rsid w:val="00B16A04"/>
    <w:rsid w:val="00B17314"/>
    <w:rsid w:val="00B2204D"/>
    <w:rsid w:val="00B31562"/>
    <w:rsid w:val="00B33291"/>
    <w:rsid w:val="00B37E20"/>
    <w:rsid w:val="00B466F0"/>
    <w:rsid w:val="00B50356"/>
    <w:rsid w:val="00B62D97"/>
    <w:rsid w:val="00B647A6"/>
    <w:rsid w:val="00B656DC"/>
    <w:rsid w:val="00BA2A63"/>
    <w:rsid w:val="00BA6751"/>
    <w:rsid w:val="00BD17BB"/>
    <w:rsid w:val="00C1034C"/>
    <w:rsid w:val="00C228B3"/>
    <w:rsid w:val="00C5671A"/>
    <w:rsid w:val="00C650D9"/>
    <w:rsid w:val="00C6689F"/>
    <w:rsid w:val="00C96099"/>
    <w:rsid w:val="00CA12FE"/>
    <w:rsid w:val="00CA605D"/>
    <w:rsid w:val="00CB4584"/>
    <w:rsid w:val="00CC12A6"/>
    <w:rsid w:val="00CD4F2B"/>
    <w:rsid w:val="00D46355"/>
    <w:rsid w:val="00D47D57"/>
    <w:rsid w:val="00D538C5"/>
    <w:rsid w:val="00D545C9"/>
    <w:rsid w:val="00D71B5C"/>
    <w:rsid w:val="00DB7098"/>
    <w:rsid w:val="00DC2742"/>
    <w:rsid w:val="00DD3B72"/>
    <w:rsid w:val="00DD4057"/>
    <w:rsid w:val="00DD6948"/>
    <w:rsid w:val="00DE1277"/>
    <w:rsid w:val="00DE308F"/>
    <w:rsid w:val="00DF21CD"/>
    <w:rsid w:val="00DF429F"/>
    <w:rsid w:val="00DF506D"/>
    <w:rsid w:val="00E0700F"/>
    <w:rsid w:val="00E15B97"/>
    <w:rsid w:val="00E23556"/>
    <w:rsid w:val="00E27BF1"/>
    <w:rsid w:val="00E72CDE"/>
    <w:rsid w:val="00E872A9"/>
    <w:rsid w:val="00E974C6"/>
    <w:rsid w:val="00EA01E2"/>
    <w:rsid w:val="00EB3968"/>
    <w:rsid w:val="00EC261A"/>
    <w:rsid w:val="00EE00C3"/>
    <w:rsid w:val="00EE63EE"/>
    <w:rsid w:val="00EF34F4"/>
    <w:rsid w:val="00EF41BE"/>
    <w:rsid w:val="00EF6C7E"/>
    <w:rsid w:val="00F01352"/>
    <w:rsid w:val="00F4773B"/>
    <w:rsid w:val="00F50D4A"/>
    <w:rsid w:val="00F8088C"/>
    <w:rsid w:val="00F80AAF"/>
    <w:rsid w:val="00F81785"/>
    <w:rsid w:val="00FA1BB0"/>
    <w:rsid w:val="00FC7184"/>
    <w:rsid w:val="00FD1EA9"/>
    <w:rsid w:val="00FD4962"/>
    <w:rsid w:val="00FD7C07"/>
    <w:rsid w:val="00FF0E73"/>
    <w:rsid w:val="00FF1B51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538C5"/>
    <w:pPr>
      <w:ind w:left="720"/>
      <w:contextualSpacing/>
    </w:pPr>
  </w:style>
  <w:style w:type="table" w:styleId="TableGrid">
    <w:name w:val="Table Grid"/>
    <w:basedOn w:val="TableNormal"/>
    <w:uiPriority w:val="39"/>
    <w:rsid w:val="007A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0457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0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9D2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9D2"/>
    <w:rPr>
      <w:rFonts w:ascii="Times New Roman" w:eastAsia="Times New Roman" w:hAnsi="Times New Roman" w:cs="Times New Roman"/>
      <w:b/>
      <w:bCs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C1034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cab52c9b-ab33-4221-8af9-54f8f2b86a80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6911e96c-4cc4-42d5-8e43-f93924cf6a05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c8a2b7b-0bee-4c48-b0a6-23db8982d3b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76725B-D0C0-4602-B4E7-0F4CFBD7B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cp:lastPrinted>2023-08-21T23:34:00Z</cp:lastPrinted>
  <dcterms:created xsi:type="dcterms:W3CDTF">2023-10-17T00:58:00Z</dcterms:created>
  <dcterms:modified xsi:type="dcterms:W3CDTF">2023-10-17T00:58:00Z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2023-08-03T06:04:31Z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9f97734f-2035-49da-b87b-ac5193fccb5e</vt:lpwstr>
  </property>
  <property fmtid="{D5CDD505-2E9C-101B-9397-08002B2CF9AE}" pid="10" name="MSIP_Label_0f488380-630a-4f55-a077-a19445e3f360_ContentBits">
    <vt:lpwstr>0</vt:lpwstr>
  </property>
</Properties>
</file>