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92" w:type="dxa"/>
        <w:tblLayout w:type="fixed"/>
        <w:tblLook w:val="01E0" w:firstRow="1" w:lastRow="1" w:firstColumn="1" w:lastColumn="1" w:noHBand="0" w:noVBand="0"/>
      </w:tblPr>
      <w:tblGrid>
        <w:gridCol w:w="9792"/>
      </w:tblGrid>
      <w:tr w:rsidR="001564A4" w:rsidRPr="0050053A" w14:paraId="5C38377B" w14:textId="77777777" w:rsidTr="0063250E">
        <w:trPr>
          <w:trHeight w:val="772"/>
        </w:trPr>
        <w:tc>
          <w:tcPr>
            <w:tcW w:w="9792" w:type="dxa"/>
          </w:tcPr>
          <w:p w14:paraId="3AB96E2B" w14:textId="7FDF6DA4" w:rsidR="001564A4" w:rsidRPr="00EA574A" w:rsidRDefault="00207372" w:rsidP="00EA574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B333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ersonal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spirometry</w:t>
            </w:r>
            <w:r w:rsidR="00B333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appears a</w:t>
            </w:r>
            <w:r w:rsidR="00B33381" w:rsidRPr="00F23198">
              <w:rPr>
                <w:rFonts w:ascii="Arial" w:hAnsi="Arial" w:cs="Arial"/>
                <w:b/>
                <w:bCs/>
                <w:sz w:val="22"/>
                <w:szCs w:val="22"/>
              </w:rPr>
              <w:t>ccura</w:t>
            </w:r>
            <w:r w:rsidR="00B33381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r w:rsidR="00B33381" w:rsidRPr="00F231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 w:rsidR="00B33381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B33381" w:rsidRPr="00F23198">
              <w:rPr>
                <w:rFonts w:ascii="Arial" w:hAnsi="Arial" w:cs="Arial"/>
                <w:b/>
                <w:bCs/>
                <w:sz w:val="22"/>
                <w:szCs w:val="22"/>
              </w:rPr>
              <w:t>easib</w:t>
            </w:r>
            <w:r w:rsidR="00B33381">
              <w:rPr>
                <w:rFonts w:ascii="Arial" w:hAnsi="Arial" w:cs="Arial"/>
                <w:b/>
                <w:bCs/>
                <w:sz w:val="22"/>
                <w:szCs w:val="22"/>
              </w:rPr>
              <w:t>le</w:t>
            </w:r>
            <w:r w:rsidR="00B33381" w:rsidRPr="00F231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33381">
              <w:rPr>
                <w:rFonts w:ascii="Arial" w:hAnsi="Arial" w:cs="Arial"/>
                <w:b/>
                <w:bCs/>
                <w:sz w:val="22"/>
                <w:szCs w:val="22"/>
              </w:rPr>
              <w:t>for r</w:t>
            </w:r>
            <w:r w:rsidR="00B33381" w:rsidRPr="00F231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emote </w:t>
            </w:r>
            <w:r w:rsidR="00B33381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B33381" w:rsidRPr="00F231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ung </w:t>
            </w:r>
            <w:r w:rsidR="00B33381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B33381" w:rsidRPr="00F231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unction </w:t>
            </w:r>
            <w:r w:rsidR="00B33381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B33381" w:rsidRPr="00F23198">
              <w:rPr>
                <w:rFonts w:ascii="Arial" w:hAnsi="Arial" w:cs="Arial"/>
                <w:b/>
                <w:bCs/>
                <w:sz w:val="22"/>
                <w:szCs w:val="22"/>
              </w:rPr>
              <w:t>onitoring</w:t>
            </w:r>
            <w:r w:rsidR="00B333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across multiple chronic lung cond</w:t>
            </w:r>
            <w:r w:rsidR="00EA574A">
              <w:rPr>
                <w:rFonts w:ascii="Arial" w:hAnsi="Arial" w:cs="Arial"/>
                <w:b/>
                <w:bCs/>
                <w:sz w:val="22"/>
                <w:szCs w:val="22"/>
              </w:rPr>
              <w:t>itions and varying patient ages.</w:t>
            </w:r>
          </w:p>
        </w:tc>
      </w:tr>
      <w:tr w:rsidR="001564A4" w:rsidRPr="0050053A" w14:paraId="0E2E035C" w14:textId="77777777" w:rsidTr="0063250E">
        <w:trPr>
          <w:trHeight w:val="534"/>
        </w:trPr>
        <w:tc>
          <w:tcPr>
            <w:tcW w:w="9792" w:type="dxa"/>
          </w:tcPr>
          <w:p w14:paraId="73B55295" w14:textId="76D43617" w:rsidR="001564A4" w:rsidRPr="00413B94" w:rsidRDefault="00F51D83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9D424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Claire McLaughlin</w:t>
            </w:r>
            <w:r w:rsidR="001564A4" w:rsidRPr="009D4242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Caitlin</w:t>
            </w:r>
            <w:r w:rsidR="00EA574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Wilson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EA574A" w:rsidRPr="00F2319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Alvenia Cairncross</w:t>
            </w:r>
            <w:r w:rsidR="00EA574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EA574A" w:rsidRPr="00F23198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Peter B Noble</w:t>
            </w:r>
            <w:r w:rsidR="00EA574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John Blakey</w:t>
            </w:r>
            <w:r w:rsidR="00EA574A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EA574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Alice Crawford</w:t>
            </w:r>
            <w:r w:rsidR="00D3660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</w:p>
        </w:tc>
      </w:tr>
      <w:tr w:rsidR="001564A4" w:rsidRPr="0050053A" w14:paraId="385A19D9" w14:textId="77777777" w:rsidTr="0063250E">
        <w:trPr>
          <w:trHeight w:val="207"/>
        </w:trPr>
        <w:tc>
          <w:tcPr>
            <w:tcW w:w="9792" w:type="dxa"/>
          </w:tcPr>
          <w:p w14:paraId="1643A330" w14:textId="705B9A00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0B0B6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0B0B6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St John of God, Subiaco Hospital</w:t>
            </w:r>
            <w:r w:rsidR="00EA574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EA574A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EA574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School of Health Sciences, University of Western Australia </w:t>
            </w:r>
            <w:r w:rsidR="00EA574A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45ED36BF" w14:textId="2172A0E5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0B0B6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Sir Charles Gairdner Hospital, Perth Western Australia</w:t>
            </w:r>
            <w:r w:rsidR="00EA574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EA574A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EA574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Curtin University</w:t>
            </w:r>
          </w:p>
        </w:tc>
      </w:tr>
      <w:tr w:rsidR="001564A4" w:rsidRPr="0050053A" w14:paraId="6DAF615A" w14:textId="77777777" w:rsidTr="001C2B80">
        <w:trPr>
          <w:trHeight w:hRule="exact" w:val="11497"/>
        </w:trPr>
        <w:tc>
          <w:tcPr>
            <w:tcW w:w="9792" w:type="dxa"/>
          </w:tcPr>
          <w:p w14:paraId="3D770CF7" w14:textId="2B7192E5" w:rsidR="001564A4" w:rsidRPr="001C2B80" w:rsidRDefault="001564A4" w:rsidP="000A28E2">
            <w:pPr>
              <w:pStyle w:val="Pa12"/>
              <w:rPr>
                <w:rStyle w:val="A4"/>
                <w:sz w:val="20"/>
                <w:szCs w:val="20"/>
              </w:rPr>
            </w:pPr>
            <w:r w:rsidRPr="001C2B80">
              <w:rPr>
                <w:rStyle w:val="A4"/>
                <w:b/>
                <w:bCs/>
                <w:sz w:val="20"/>
                <w:szCs w:val="20"/>
              </w:rPr>
              <w:t xml:space="preserve">Introduction/Aim: </w:t>
            </w:r>
            <w:r w:rsidR="00F51D83" w:rsidRPr="001C2B80">
              <w:rPr>
                <w:rStyle w:val="A4"/>
                <w:bCs/>
                <w:sz w:val="20"/>
                <w:szCs w:val="20"/>
              </w:rPr>
              <w:t>Spirometry is an essential tool for physicians diagnosi</w:t>
            </w:r>
            <w:r w:rsidR="00B32FB5" w:rsidRPr="001C2B80">
              <w:rPr>
                <w:rStyle w:val="A4"/>
                <w:bCs/>
                <w:sz w:val="20"/>
                <w:szCs w:val="20"/>
              </w:rPr>
              <w:t>ng</w:t>
            </w:r>
            <w:r w:rsidR="00F51D83" w:rsidRPr="001C2B80">
              <w:rPr>
                <w:rStyle w:val="A4"/>
                <w:bCs/>
                <w:sz w:val="20"/>
                <w:szCs w:val="20"/>
              </w:rPr>
              <w:t xml:space="preserve"> and monitor</w:t>
            </w:r>
            <w:r w:rsidR="0044763D" w:rsidRPr="001C2B80">
              <w:rPr>
                <w:rStyle w:val="A4"/>
                <w:bCs/>
                <w:sz w:val="20"/>
                <w:szCs w:val="20"/>
              </w:rPr>
              <w:t>ing respiratory conditions</w:t>
            </w:r>
            <w:r w:rsidR="00F51D83" w:rsidRPr="001C2B80">
              <w:rPr>
                <w:rStyle w:val="A4"/>
                <w:bCs/>
                <w:sz w:val="20"/>
                <w:szCs w:val="20"/>
              </w:rPr>
              <w:t xml:space="preserve">. </w:t>
            </w:r>
            <w:r w:rsidR="00B32FB5" w:rsidRPr="001C2B80">
              <w:rPr>
                <w:rStyle w:val="A4"/>
                <w:bCs/>
                <w:sz w:val="20"/>
                <w:szCs w:val="20"/>
              </w:rPr>
              <w:t xml:space="preserve">However currently spirometry is underutilised, with accessibility being a contributory factor. Smartphone connected spirometry mitigates this challenge. </w:t>
            </w:r>
            <w:r w:rsidR="00F51D83" w:rsidRPr="001C2B80">
              <w:rPr>
                <w:rStyle w:val="A4"/>
                <w:bCs/>
                <w:sz w:val="20"/>
                <w:szCs w:val="20"/>
              </w:rPr>
              <w:t>We have previously shown that home spirometry is accurate and feasible</w:t>
            </w:r>
            <w:r w:rsidR="00B32FB5" w:rsidRPr="001C2B80">
              <w:rPr>
                <w:rStyle w:val="A4"/>
                <w:bCs/>
                <w:sz w:val="20"/>
                <w:szCs w:val="20"/>
              </w:rPr>
              <w:t xml:space="preserve"> in a mixed population</w:t>
            </w:r>
            <w:r w:rsidR="00F51D83" w:rsidRPr="001C2B80">
              <w:rPr>
                <w:rStyle w:val="A4"/>
                <w:bCs/>
                <w:sz w:val="20"/>
                <w:szCs w:val="20"/>
              </w:rPr>
              <w:t xml:space="preserve"> when compared to gold standard desktop spirometry. </w:t>
            </w:r>
            <w:r w:rsidR="00B32FB5" w:rsidRPr="001C2B80">
              <w:rPr>
                <w:rStyle w:val="A4"/>
                <w:bCs/>
                <w:sz w:val="20"/>
                <w:szCs w:val="20"/>
              </w:rPr>
              <w:t>This</w:t>
            </w:r>
            <w:r w:rsidR="00A17901" w:rsidRPr="001C2B80">
              <w:rPr>
                <w:rStyle w:val="A4"/>
                <w:bCs/>
                <w:sz w:val="20"/>
                <w:szCs w:val="20"/>
              </w:rPr>
              <w:t xml:space="preserve"> </w:t>
            </w:r>
            <w:r w:rsidR="00F51D83" w:rsidRPr="001C2B80">
              <w:rPr>
                <w:rStyle w:val="A4"/>
                <w:bCs/>
                <w:sz w:val="20"/>
                <w:szCs w:val="20"/>
              </w:rPr>
              <w:t>study assessed whether the accuracy of personal spirometry</w:t>
            </w:r>
            <w:r w:rsidR="00E43ADA" w:rsidRPr="001C2B80">
              <w:rPr>
                <w:rStyle w:val="A4"/>
                <w:bCs/>
                <w:sz w:val="20"/>
                <w:szCs w:val="20"/>
              </w:rPr>
              <w:t xml:space="preserve"> varied with chronic respiratory conditions or age. </w:t>
            </w:r>
          </w:p>
          <w:p w14:paraId="5029BAE6" w14:textId="791CA5F5" w:rsidR="001564A4" w:rsidRPr="001C2B80" w:rsidRDefault="001564A4" w:rsidP="000A28E2">
            <w:pPr>
              <w:pStyle w:val="Pa12"/>
              <w:rPr>
                <w:rStyle w:val="A4"/>
                <w:bCs/>
                <w:sz w:val="20"/>
                <w:szCs w:val="20"/>
              </w:rPr>
            </w:pPr>
            <w:r w:rsidRPr="001C2B80">
              <w:rPr>
                <w:rStyle w:val="A4"/>
                <w:b/>
                <w:bCs/>
                <w:sz w:val="20"/>
                <w:szCs w:val="20"/>
              </w:rPr>
              <w:t xml:space="preserve">Methods: </w:t>
            </w:r>
            <w:r w:rsidR="00E43ADA" w:rsidRPr="001C2B80">
              <w:rPr>
                <w:rStyle w:val="A4"/>
                <w:bCs/>
                <w:sz w:val="20"/>
                <w:szCs w:val="20"/>
              </w:rPr>
              <w:t>Subjects with</w:t>
            </w:r>
            <w:r w:rsidR="000313C0" w:rsidRPr="001C2B80">
              <w:rPr>
                <w:rStyle w:val="A4"/>
                <w:bCs/>
                <w:sz w:val="20"/>
                <w:szCs w:val="20"/>
              </w:rPr>
              <w:t xml:space="preserve"> </w:t>
            </w:r>
            <w:r w:rsidR="00E43ADA" w:rsidRPr="001C2B80">
              <w:rPr>
                <w:rStyle w:val="A4"/>
                <w:bCs/>
                <w:sz w:val="20"/>
                <w:szCs w:val="20"/>
              </w:rPr>
              <w:t xml:space="preserve">chronic respiratory conditions (Asthma, COPD, Bronchiectasis, </w:t>
            </w:r>
            <w:r w:rsidR="00087F39" w:rsidRPr="001C2B80">
              <w:rPr>
                <w:rStyle w:val="A4"/>
                <w:bCs/>
                <w:sz w:val="20"/>
                <w:szCs w:val="20"/>
              </w:rPr>
              <w:t xml:space="preserve">Interstitial Lung </w:t>
            </w:r>
            <w:r w:rsidR="00A17901" w:rsidRPr="001C2B80">
              <w:rPr>
                <w:rStyle w:val="A4"/>
                <w:bCs/>
                <w:sz w:val="20"/>
                <w:szCs w:val="20"/>
              </w:rPr>
              <w:t>Disease (</w:t>
            </w:r>
            <w:r w:rsidR="00E43ADA" w:rsidRPr="001C2B80">
              <w:rPr>
                <w:rStyle w:val="A4"/>
                <w:bCs/>
                <w:sz w:val="20"/>
                <w:szCs w:val="20"/>
              </w:rPr>
              <w:t>ILD</w:t>
            </w:r>
            <w:r w:rsidR="00A17901" w:rsidRPr="001C2B80">
              <w:rPr>
                <w:rStyle w:val="A4"/>
                <w:bCs/>
                <w:sz w:val="20"/>
                <w:szCs w:val="20"/>
              </w:rPr>
              <w:t>))</w:t>
            </w:r>
            <w:r w:rsidR="00666727" w:rsidRPr="001C2B80">
              <w:rPr>
                <w:rStyle w:val="A4"/>
                <w:bCs/>
                <w:sz w:val="20"/>
                <w:szCs w:val="20"/>
              </w:rPr>
              <w:t xml:space="preserve"> diagnosed by a respiratory physician</w:t>
            </w:r>
            <w:r w:rsidR="00E43ADA" w:rsidRPr="001C2B80">
              <w:rPr>
                <w:rStyle w:val="A4"/>
                <w:bCs/>
                <w:sz w:val="20"/>
                <w:szCs w:val="20"/>
              </w:rPr>
              <w:t xml:space="preserve"> were recruited through two separate institutions to perform spirometry on a standard desktop spirometer (MGC diagnostics) and a personal ultrasonic spirometer (</w:t>
            </w:r>
            <w:proofErr w:type="spellStart"/>
            <w:r w:rsidR="00E43ADA" w:rsidRPr="001C2B80">
              <w:rPr>
                <w:rStyle w:val="A4"/>
                <w:bCs/>
                <w:sz w:val="20"/>
                <w:szCs w:val="20"/>
              </w:rPr>
              <w:t>SpiroHome</w:t>
            </w:r>
            <w:proofErr w:type="spellEnd"/>
            <w:r w:rsidR="00E43ADA" w:rsidRPr="001C2B80">
              <w:rPr>
                <w:rStyle w:val="A4"/>
                <w:bCs/>
                <w:sz w:val="20"/>
                <w:szCs w:val="20"/>
              </w:rPr>
              <w:t xml:space="preserve">). Unsupervised </w:t>
            </w:r>
            <w:r w:rsidR="00A3182C" w:rsidRPr="001C2B80">
              <w:rPr>
                <w:rStyle w:val="A4"/>
                <w:bCs/>
                <w:sz w:val="20"/>
                <w:szCs w:val="20"/>
              </w:rPr>
              <w:t xml:space="preserve">home </w:t>
            </w:r>
            <w:r w:rsidR="00E43ADA" w:rsidRPr="001C2B80">
              <w:rPr>
                <w:rStyle w:val="A4"/>
                <w:bCs/>
                <w:sz w:val="20"/>
                <w:szCs w:val="20"/>
              </w:rPr>
              <w:t xml:space="preserve">testing was subsequently conducted using </w:t>
            </w:r>
            <w:proofErr w:type="spellStart"/>
            <w:r w:rsidR="00E43ADA" w:rsidRPr="001C2B80">
              <w:rPr>
                <w:rStyle w:val="A4"/>
                <w:bCs/>
                <w:sz w:val="20"/>
                <w:szCs w:val="20"/>
              </w:rPr>
              <w:t>SpiroHome</w:t>
            </w:r>
            <w:proofErr w:type="spellEnd"/>
            <w:r w:rsidR="00E43ADA" w:rsidRPr="001C2B80">
              <w:rPr>
                <w:rStyle w:val="A4"/>
                <w:bCs/>
                <w:sz w:val="20"/>
                <w:szCs w:val="20"/>
              </w:rPr>
              <w:t xml:space="preserve"> </w:t>
            </w:r>
            <w:r w:rsidR="00A3182C" w:rsidRPr="001C2B80">
              <w:rPr>
                <w:rStyle w:val="A4"/>
                <w:bCs/>
                <w:sz w:val="20"/>
                <w:szCs w:val="20"/>
              </w:rPr>
              <w:t>(</w:t>
            </w:r>
            <w:r w:rsidR="00E43ADA" w:rsidRPr="001C2B80">
              <w:rPr>
                <w:rStyle w:val="A4"/>
                <w:bCs/>
                <w:sz w:val="20"/>
                <w:szCs w:val="20"/>
              </w:rPr>
              <w:t>2 tests/week for 3 weeks).</w:t>
            </w:r>
            <w:r w:rsidR="000B0B6A" w:rsidRPr="001C2B80">
              <w:rPr>
                <w:rStyle w:val="A4"/>
                <w:bCs/>
                <w:sz w:val="20"/>
                <w:szCs w:val="20"/>
              </w:rPr>
              <w:t xml:space="preserve">Comparison between desktop and personal spirometry including supervised and unsupervised spirometry and between different respiratory conditions and ages were compared by Bland Altman analysis (%Bias +/-CI) and Pearson Correlation. </w:t>
            </w:r>
            <w:r w:rsidR="0030311E" w:rsidRPr="001C2B80">
              <w:rPr>
                <w:sz w:val="20"/>
                <w:szCs w:val="20"/>
              </w:rPr>
              <w:t>Two-way ANOVA was used to compare FEV</w:t>
            </w:r>
            <w:r w:rsidR="0030311E" w:rsidRPr="001C2B80">
              <w:rPr>
                <w:sz w:val="20"/>
                <w:szCs w:val="20"/>
                <w:vertAlign w:val="subscript"/>
              </w:rPr>
              <w:t>1</w:t>
            </w:r>
            <w:r w:rsidR="0030311E" w:rsidRPr="001C2B80">
              <w:rPr>
                <w:sz w:val="20"/>
                <w:szCs w:val="20"/>
              </w:rPr>
              <w:t xml:space="preserve"> and FVC results across disease groups and home test sessions</w:t>
            </w:r>
            <w:r w:rsidR="00317E69" w:rsidRPr="001C2B80">
              <w:rPr>
                <w:sz w:val="20"/>
                <w:szCs w:val="20"/>
              </w:rPr>
              <w:t>.</w:t>
            </w:r>
          </w:p>
          <w:p w14:paraId="6404DF57" w14:textId="1109CD35" w:rsidR="00A17901" w:rsidRPr="001C2B80" w:rsidRDefault="001564A4" w:rsidP="00A17901">
            <w:pPr>
              <w:pStyle w:val="Pa12"/>
              <w:rPr>
                <w:rStyle w:val="A4"/>
                <w:bCs/>
                <w:sz w:val="20"/>
                <w:szCs w:val="20"/>
              </w:rPr>
            </w:pPr>
            <w:r w:rsidRPr="001C2B80">
              <w:rPr>
                <w:rStyle w:val="A4"/>
                <w:b/>
                <w:bCs/>
                <w:sz w:val="20"/>
                <w:szCs w:val="20"/>
              </w:rPr>
              <w:t xml:space="preserve">Results: </w:t>
            </w:r>
            <w:r w:rsidR="00666727" w:rsidRPr="001C2B80">
              <w:rPr>
                <w:rStyle w:val="A4"/>
                <w:bCs/>
                <w:sz w:val="20"/>
                <w:szCs w:val="20"/>
              </w:rPr>
              <w:t>The median age of t</w:t>
            </w:r>
            <w:r w:rsidR="0030311E" w:rsidRPr="001C2B80">
              <w:rPr>
                <w:rStyle w:val="A4"/>
                <w:bCs/>
                <w:sz w:val="20"/>
                <w:szCs w:val="20"/>
              </w:rPr>
              <w:t xml:space="preserve">he </w:t>
            </w:r>
            <w:r w:rsidR="00270417" w:rsidRPr="001C2B80">
              <w:rPr>
                <w:rStyle w:val="A4"/>
                <w:bCs/>
                <w:sz w:val="20"/>
                <w:szCs w:val="20"/>
              </w:rPr>
              <w:t>91</w:t>
            </w:r>
            <w:r w:rsidR="00B32FB5" w:rsidRPr="001C2B80">
              <w:rPr>
                <w:rStyle w:val="A4"/>
                <w:bCs/>
                <w:sz w:val="20"/>
                <w:szCs w:val="20"/>
              </w:rPr>
              <w:t xml:space="preserve"> </w:t>
            </w:r>
            <w:r w:rsidR="0030311E" w:rsidRPr="001C2B80">
              <w:rPr>
                <w:rStyle w:val="A4"/>
                <w:bCs/>
                <w:sz w:val="20"/>
                <w:szCs w:val="20"/>
              </w:rPr>
              <w:t>participants was 62.6</w:t>
            </w:r>
            <w:r w:rsidR="002E235C" w:rsidRPr="001C2B80">
              <w:rPr>
                <w:rStyle w:val="A4"/>
                <w:bCs/>
                <w:sz w:val="20"/>
                <w:szCs w:val="20"/>
              </w:rPr>
              <w:t xml:space="preserve"> and </w:t>
            </w:r>
            <w:r w:rsidR="00B32FB5" w:rsidRPr="001C2B80">
              <w:rPr>
                <w:rStyle w:val="A4"/>
                <w:bCs/>
                <w:sz w:val="20"/>
                <w:szCs w:val="20"/>
              </w:rPr>
              <w:t>3</w:t>
            </w:r>
            <w:r w:rsidR="002E235C" w:rsidRPr="001C2B80">
              <w:rPr>
                <w:rStyle w:val="A4"/>
                <w:bCs/>
                <w:sz w:val="20"/>
                <w:szCs w:val="20"/>
              </w:rPr>
              <w:t>7</w:t>
            </w:r>
            <w:r w:rsidR="00B32FB5" w:rsidRPr="001C2B80">
              <w:rPr>
                <w:rStyle w:val="A4"/>
                <w:bCs/>
                <w:sz w:val="20"/>
                <w:szCs w:val="20"/>
              </w:rPr>
              <w:t xml:space="preserve"> </w:t>
            </w:r>
            <w:r w:rsidR="002E235C" w:rsidRPr="001C2B80">
              <w:rPr>
                <w:rStyle w:val="A4"/>
                <w:bCs/>
                <w:sz w:val="20"/>
                <w:szCs w:val="20"/>
              </w:rPr>
              <w:t>(39</w:t>
            </w:r>
            <w:r w:rsidR="00B32FB5" w:rsidRPr="001C2B80">
              <w:rPr>
                <w:rStyle w:val="A4"/>
                <w:bCs/>
                <w:sz w:val="20"/>
                <w:szCs w:val="20"/>
              </w:rPr>
              <w:t>%) were male</w:t>
            </w:r>
            <w:r w:rsidR="0030311E" w:rsidRPr="001C2B80">
              <w:rPr>
                <w:rStyle w:val="A4"/>
                <w:bCs/>
                <w:sz w:val="20"/>
                <w:szCs w:val="20"/>
              </w:rPr>
              <w:t xml:space="preserve">. 19 </w:t>
            </w:r>
            <w:r w:rsidR="008D4A95" w:rsidRPr="001C2B80">
              <w:rPr>
                <w:rStyle w:val="A4"/>
                <w:bCs/>
                <w:sz w:val="20"/>
                <w:szCs w:val="20"/>
              </w:rPr>
              <w:t>health</w:t>
            </w:r>
            <w:r w:rsidR="00A24F4D" w:rsidRPr="001C2B80">
              <w:rPr>
                <w:rStyle w:val="A4"/>
                <w:bCs/>
                <w:sz w:val="20"/>
                <w:szCs w:val="20"/>
              </w:rPr>
              <w:t>y</w:t>
            </w:r>
            <w:r w:rsidR="008D4A95" w:rsidRPr="001C2B80">
              <w:rPr>
                <w:rStyle w:val="A4"/>
                <w:bCs/>
                <w:sz w:val="20"/>
                <w:szCs w:val="20"/>
              </w:rPr>
              <w:t xml:space="preserve"> controls</w:t>
            </w:r>
            <w:r w:rsidR="0030311E" w:rsidRPr="001C2B80">
              <w:rPr>
                <w:rStyle w:val="A4"/>
                <w:bCs/>
                <w:sz w:val="20"/>
                <w:szCs w:val="20"/>
              </w:rPr>
              <w:t xml:space="preserve">, </w:t>
            </w:r>
            <w:r w:rsidR="00270417" w:rsidRPr="001C2B80">
              <w:rPr>
                <w:rStyle w:val="A4"/>
                <w:bCs/>
                <w:sz w:val="20"/>
                <w:szCs w:val="20"/>
              </w:rPr>
              <w:t>22</w:t>
            </w:r>
            <w:r w:rsidR="00666727" w:rsidRPr="001C2B80">
              <w:rPr>
                <w:rStyle w:val="A4"/>
                <w:bCs/>
                <w:sz w:val="20"/>
                <w:szCs w:val="20"/>
              </w:rPr>
              <w:t xml:space="preserve"> </w:t>
            </w:r>
            <w:r w:rsidR="0030311E" w:rsidRPr="001C2B80">
              <w:rPr>
                <w:rStyle w:val="A4"/>
                <w:bCs/>
                <w:sz w:val="20"/>
                <w:szCs w:val="20"/>
              </w:rPr>
              <w:t>with</w:t>
            </w:r>
            <w:r w:rsidR="00270417" w:rsidRPr="001C2B80">
              <w:rPr>
                <w:rStyle w:val="A4"/>
                <w:bCs/>
                <w:sz w:val="20"/>
                <w:szCs w:val="20"/>
              </w:rPr>
              <w:t xml:space="preserve"> Asthma, 16</w:t>
            </w:r>
            <w:r w:rsidR="00666727" w:rsidRPr="001C2B80">
              <w:rPr>
                <w:rStyle w:val="A4"/>
                <w:bCs/>
                <w:sz w:val="20"/>
                <w:szCs w:val="20"/>
              </w:rPr>
              <w:t xml:space="preserve"> </w:t>
            </w:r>
            <w:r w:rsidR="0030311E" w:rsidRPr="001C2B80">
              <w:rPr>
                <w:rStyle w:val="A4"/>
                <w:bCs/>
                <w:sz w:val="20"/>
                <w:szCs w:val="20"/>
              </w:rPr>
              <w:t>with</w:t>
            </w:r>
            <w:r w:rsidR="00270417" w:rsidRPr="001C2B80">
              <w:rPr>
                <w:rStyle w:val="A4"/>
                <w:bCs/>
                <w:sz w:val="20"/>
                <w:szCs w:val="20"/>
              </w:rPr>
              <w:t xml:space="preserve"> COPD, 17</w:t>
            </w:r>
            <w:r w:rsidR="00666727" w:rsidRPr="001C2B80">
              <w:rPr>
                <w:rStyle w:val="A4"/>
                <w:bCs/>
                <w:sz w:val="20"/>
                <w:szCs w:val="20"/>
              </w:rPr>
              <w:t xml:space="preserve"> </w:t>
            </w:r>
            <w:r w:rsidR="0030311E" w:rsidRPr="001C2B80">
              <w:rPr>
                <w:rStyle w:val="A4"/>
                <w:bCs/>
                <w:sz w:val="20"/>
                <w:szCs w:val="20"/>
              </w:rPr>
              <w:t>with</w:t>
            </w:r>
            <w:r w:rsidR="00270417" w:rsidRPr="001C2B80">
              <w:rPr>
                <w:rStyle w:val="A4"/>
                <w:bCs/>
                <w:sz w:val="20"/>
                <w:szCs w:val="20"/>
              </w:rPr>
              <w:t xml:space="preserve"> Bronchiectasis and </w:t>
            </w:r>
            <w:r w:rsidR="00666727" w:rsidRPr="001C2B80">
              <w:rPr>
                <w:rStyle w:val="A4"/>
                <w:bCs/>
                <w:sz w:val="20"/>
                <w:szCs w:val="20"/>
              </w:rPr>
              <w:t>1</w:t>
            </w:r>
            <w:r w:rsidR="00270417" w:rsidRPr="001C2B80">
              <w:rPr>
                <w:rStyle w:val="A4"/>
                <w:bCs/>
                <w:sz w:val="20"/>
                <w:szCs w:val="20"/>
              </w:rPr>
              <w:t>7</w:t>
            </w:r>
            <w:r w:rsidR="00666727" w:rsidRPr="001C2B80">
              <w:rPr>
                <w:rStyle w:val="A4"/>
                <w:bCs/>
                <w:sz w:val="20"/>
                <w:szCs w:val="20"/>
              </w:rPr>
              <w:t xml:space="preserve"> </w:t>
            </w:r>
            <w:r w:rsidR="0030311E" w:rsidRPr="001C2B80">
              <w:rPr>
                <w:rStyle w:val="A4"/>
                <w:bCs/>
                <w:sz w:val="20"/>
                <w:szCs w:val="20"/>
              </w:rPr>
              <w:t>with</w:t>
            </w:r>
            <w:r w:rsidR="00666727" w:rsidRPr="001C2B80">
              <w:rPr>
                <w:rStyle w:val="A4"/>
                <w:bCs/>
                <w:sz w:val="20"/>
                <w:szCs w:val="20"/>
              </w:rPr>
              <w:t xml:space="preserve"> ILD. </w:t>
            </w:r>
            <w:r w:rsidR="00A17901" w:rsidRPr="001C2B80">
              <w:rPr>
                <w:rStyle w:val="A4"/>
                <w:bCs/>
                <w:sz w:val="20"/>
                <w:szCs w:val="20"/>
              </w:rPr>
              <w:t xml:space="preserve">Between all groups a good agreement was observed between desktop and </w:t>
            </w:r>
            <w:proofErr w:type="spellStart"/>
            <w:r w:rsidR="00A17901" w:rsidRPr="001C2B80">
              <w:rPr>
                <w:rStyle w:val="A4"/>
                <w:bCs/>
                <w:sz w:val="20"/>
                <w:szCs w:val="20"/>
              </w:rPr>
              <w:t>HomeSpiro</w:t>
            </w:r>
            <w:proofErr w:type="spellEnd"/>
            <w:r w:rsidR="00A17901" w:rsidRPr="001C2B80">
              <w:rPr>
                <w:rStyle w:val="A4"/>
                <w:bCs/>
                <w:sz w:val="20"/>
                <w:szCs w:val="20"/>
              </w:rPr>
              <w:t xml:space="preserve"> for both FEV1 and FVC (r=0.97, p=&lt;0.0001). Precision analysis is ongoing, however there has been early signalling to suggest there may be differences in the COPD cohort</w:t>
            </w:r>
            <w:r w:rsidR="001C2B80" w:rsidRPr="001C2B80">
              <w:rPr>
                <w:rStyle w:val="A4"/>
                <w:bCs/>
                <w:sz w:val="20"/>
                <w:szCs w:val="20"/>
              </w:rPr>
              <w:t xml:space="preserve"> (</w:t>
            </w:r>
            <w:r w:rsidR="0063250E" w:rsidRPr="001C2B80">
              <w:rPr>
                <w:rStyle w:val="A4"/>
                <w:bCs/>
                <w:sz w:val="20"/>
                <w:szCs w:val="20"/>
              </w:rPr>
              <w:t>Table1)</w:t>
            </w:r>
            <w:r w:rsidR="00A17901" w:rsidRPr="001C2B80">
              <w:rPr>
                <w:rStyle w:val="A4"/>
                <w:bCs/>
                <w:sz w:val="20"/>
                <w:szCs w:val="20"/>
              </w:rPr>
              <w:t>. Which may be a result of the prolonged expiration in this group. Ages were characterised into five groups based on corresponding genera</w:t>
            </w:r>
            <w:r w:rsidR="00351C5C" w:rsidRPr="001C2B80">
              <w:rPr>
                <w:rStyle w:val="A4"/>
                <w:bCs/>
                <w:sz w:val="20"/>
                <w:szCs w:val="20"/>
              </w:rPr>
              <w:t>tion.</w:t>
            </w:r>
            <w:r w:rsidR="002E235C" w:rsidRPr="001C2B80">
              <w:rPr>
                <w:rStyle w:val="A4"/>
                <w:bCs/>
                <w:sz w:val="20"/>
                <w:szCs w:val="20"/>
              </w:rPr>
              <w:t xml:space="preserve"> There is an indication that older patients</w:t>
            </w:r>
            <w:r w:rsidR="001C2B80" w:rsidRPr="001C2B80">
              <w:rPr>
                <w:rStyle w:val="A4"/>
                <w:bCs/>
                <w:sz w:val="20"/>
                <w:szCs w:val="20"/>
              </w:rPr>
              <w:t xml:space="preserve"> were less likely to meet ATS/ERS criteria for at home spirometry, analysis ongoing to further assess this.</w:t>
            </w:r>
          </w:p>
          <w:p w14:paraId="363F33B5" w14:textId="78FC9A16" w:rsidR="0063250E" w:rsidRPr="001C2B80" w:rsidRDefault="0063250E" w:rsidP="0063250E">
            <w:pPr>
              <w:pStyle w:val="Default"/>
              <w:rPr>
                <w:sz w:val="20"/>
                <w:szCs w:val="20"/>
              </w:rPr>
            </w:pPr>
          </w:p>
          <w:p w14:paraId="0DB046D1" w14:textId="77E07605" w:rsidR="0063250E" w:rsidRPr="001C2B80" w:rsidRDefault="0063250E" w:rsidP="0063250E">
            <w:pPr>
              <w:pStyle w:val="Pa12"/>
              <w:rPr>
                <w:color w:val="000000"/>
                <w:sz w:val="20"/>
                <w:szCs w:val="20"/>
              </w:rPr>
            </w:pPr>
            <w:r w:rsidRPr="001C2B80">
              <w:rPr>
                <w:color w:val="000000"/>
                <w:sz w:val="20"/>
                <w:szCs w:val="20"/>
              </w:rPr>
              <w:t xml:space="preserve">Table 1: </w:t>
            </w:r>
            <w:r w:rsidR="00317E69" w:rsidRPr="001C2B80">
              <w:rPr>
                <w:color w:val="000000"/>
                <w:sz w:val="20"/>
                <w:szCs w:val="20"/>
              </w:rPr>
              <w:t xml:space="preserve">Analysis of percentage of FEV1 and FVC that met ATS/ERS criteria per </w:t>
            </w:r>
            <w:r w:rsidR="00A9562F" w:rsidRPr="001C2B80">
              <w:rPr>
                <w:color w:val="000000"/>
                <w:sz w:val="20"/>
                <w:szCs w:val="20"/>
              </w:rPr>
              <w:t xml:space="preserve">Respiratory conditions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35"/>
              <w:gridCol w:w="2136"/>
              <w:gridCol w:w="2136"/>
            </w:tblGrid>
            <w:tr w:rsidR="0063250E" w:rsidRPr="001C2B80" w14:paraId="23AC4814" w14:textId="77777777" w:rsidTr="00316F90">
              <w:trPr>
                <w:trHeight w:val="610"/>
              </w:trPr>
              <w:tc>
                <w:tcPr>
                  <w:tcW w:w="2135" w:type="dxa"/>
                </w:tcPr>
                <w:p w14:paraId="3704BD0C" w14:textId="74818888" w:rsidR="0063250E" w:rsidRPr="001C2B80" w:rsidRDefault="0063250E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Cohort</w:t>
                  </w:r>
                </w:p>
              </w:tc>
              <w:tc>
                <w:tcPr>
                  <w:tcW w:w="2135" w:type="dxa"/>
                </w:tcPr>
                <w:p w14:paraId="4BD54682" w14:textId="45AFAA0E" w:rsidR="0063250E" w:rsidRPr="001C2B80" w:rsidRDefault="00316F90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 xml:space="preserve">100% of tests measuring </w:t>
                  </w:r>
                  <w:r w:rsidR="0063250E" w:rsidRPr="001C2B80">
                    <w:rPr>
                      <w:sz w:val="20"/>
                      <w:szCs w:val="20"/>
                    </w:rPr>
                    <w:t>FEV1 Met ATS/ERS   (%)</w:t>
                  </w:r>
                </w:p>
              </w:tc>
              <w:tc>
                <w:tcPr>
                  <w:tcW w:w="2136" w:type="dxa"/>
                </w:tcPr>
                <w:p w14:paraId="4FFEB833" w14:textId="14203171" w:rsidR="0063250E" w:rsidRPr="001C2B80" w:rsidRDefault="00316F90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 xml:space="preserve">100% of tests measuring </w:t>
                  </w:r>
                  <w:r w:rsidR="00A9562F" w:rsidRPr="001C2B80">
                    <w:rPr>
                      <w:sz w:val="20"/>
                      <w:szCs w:val="20"/>
                    </w:rPr>
                    <w:t>FVC Met ATS/ERS (%)</w:t>
                  </w:r>
                </w:p>
              </w:tc>
              <w:tc>
                <w:tcPr>
                  <w:tcW w:w="2136" w:type="dxa"/>
                </w:tcPr>
                <w:p w14:paraId="79ED6799" w14:textId="7DEC7EE7" w:rsidR="0063250E" w:rsidRPr="001C2B80" w:rsidRDefault="00A9562F" w:rsidP="002E23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 xml:space="preserve">% </w:t>
                  </w:r>
                  <w:r w:rsidR="002E235C" w:rsidRPr="001C2B80">
                    <w:rPr>
                      <w:sz w:val="20"/>
                      <w:szCs w:val="20"/>
                    </w:rPr>
                    <w:t>of Home Spirometry</w:t>
                  </w:r>
                  <w:r w:rsidRPr="001C2B80">
                    <w:rPr>
                      <w:sz w:val="20"/>
                      <w:szCs w:val="20"/>
                    </w:rPr>
                    <w:t xml:space="preserve"> that met ATS/ERS</w:t>
                  </w:r>
                  <w:r w:rsidR="002E235C" w:rsidRPr="001C2B80">
                    <w:rPr>
                      <w:sz w:val="20"/>
                      <w:szCs w:val="20"/>
                    </w:rPr>
                    <w:t xml:space="preserve"> for all tests</w:t>
                  </w:r>
                  <w:r w:rsidRPr="001C2B80">
                    <w:rPr>
                      <w:sz w:val="20"/>
                      <w:szCs w:val="20"/>
                    </w:rPr>
                    <w:t xml:space="preserve"> (%)</w:t>
                  </w:r>
                </w:p>
              </w:tc>
            </w:tr>
            <w:tr w:rsidR="0063250E" w:rsidRPr="001C2B80" w14:paraId="45A77AF3" w14:textId="77777777" w:rsidTr="00316F90">
              <w:trPr>
                <w:trHeight w:val="200"/>
              </w:trPr>
              <w:tc>
                <w:tcPr>
                  <w:tcW w:w="2135" w:type="dxa"/>
                </w:tcPr>
                <w:p w14:paraId="2355E588" w14:textId="6694482F" w:rsidR="0063250E" w:rsidRPr="001C2B80" w:rsidRDefault="0063250E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Control</w:t>
                  </w:r>
                </w:p>
              </w:tc>
              <w:tc>
                <w:tcPr>
                  <w:tcW w:w="2135" w:type="dxa"/>
                </w:tcPr>
                <w:p w14:paraId="31536A13" w14:textId="4BA97198" w:rsidR="0063250E" w:rsidRPr="001C2B80" w:rsidRDefault="0063250E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16/19 (84)</w:t>
                  </w:r>
                </w:p>
              </w:tc>
              <w:tc>
                <w:tcPr>
                  <w:tcW w:w="2136" w:type="dxa"/>
                </w:tcPr>
                <w:p w14:paraId="6819224F" w14:textId="14C42DDE" w:rsidR="0063250E" w:rsidRPr="001C2B80" w:rsidRDefault="00A9562F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16/19 (84)</w:t>
                  </w:r>
                </w:p>
              </w:tc>
              <w:tc>
                <w:tcPr>
                  <w:tcW w:w="2136" w:type="dxa"/>
                </w:tcPr>
                <w:p w14:paraId="27460E83" w14:textId="02F1E732" w:rsidR="0063250E" w:rsidRPr="001C2B80" w:rsidRDefault="00A9562F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16/19 (84)</w:t>
                  </w:r>
                </w:p>
              </w:tc>
            </w:tr>
            <w:tr w:rsidR="0063250E" w:rsidRPr="001C2B80" w14:paraId="5737F7E8" w14:textId="77777777" w:rsidTr="00316F90">
              <w:trPr>
                <w:trHeight w:val="200"/>
              </w:trPr>
              <w:tc>
                <w:tcPr>
                  <w:tcW w:w="2135" w:type="dxa"/>
                </w:tcPr>
                <w:p w14:paraId="4524A16E" w14:textId="3E708922" w:rsidR="0063250E" w:rsidRPr="001C2B80" w:rsidRDefault="0063250E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Asthma</w:t>
                  </w:r>
                </w:p>
              </w:tc>
              <w:tc>
                <w:tcPr>
                  <w:tcW w:w="2135" w:type="dxa"/>
                </w:tcPr>
                <w:p w14:paraId="2951DB0B" w14:textId="4C3E07A5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18/22 (81</w:t>
                  </w:r>
                  <w:r w:rsidR="0063250E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36" w:type="dxa"/>
                </w:tcPr>
                <w:p w14:paraId="444D05EB" w14:textId="52C94038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15/22 (68</w:t>
                  </w:r>
                  <w:r w:rsidR="00A9562F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36" w:type="dxa"/>
                </w:tcPr>
                <w:p w14:paraId="59E8E8CD" w14:textId="32B20A5C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15/22 (68</w:t>
                  </w:r>
                  <w:r w:rsidR="00A9562F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3250E" w:rsidRPr="001C2B80" w14:paraId="088D0D44" w14:textId="77777777" w:rsidTr="00316F90">
              <w:trPr>
                <w:trHeight w:val="208"/>
              </w:trPr>
              <w:tc>
                <w:tcPr>
                  <w:tcW w:w="2135" w:type="dxa"/>
                </w:tcPr>
                <w:p w14:paraId="192E6DA7" w14:textId="1B8860D5" w:rsidR="0063250E" w:rsidRPr="001C2B80" w:rsidRDefault="0063250E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COPD</w:t>
                  </w:r>
                </w:p>
              </w:tc>
              <w:tc>
                <w:tcPr>
                  <w:tcW w:w="2135" w:type="dxa"/>
                </w:tcPr>
                <w:p w14:paraId="25316880" w14:textId="2C2D4B9D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9/16 (56</w:t>
                  </w:r>
                  <w:r w:rsidR="0063250E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36" w:type="dxa"/>
                </w:tcPr>
                <w:p w14:paraId="7382BF41" w14:textId="36FA8F3C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4/16 (25</w:t>
                  </w:r>
                  <w:r w:rsidR="00A9562F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36" w:type="dxa"/>
                </w:tcPr>
                <w:p w14:paraId="79F008C3" w14:textId="04D9280B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3/16 (19</w:t>
                  </w:r>
                  <w:r w:rsidR="00A9562F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3250E" w:rsidRPr="001C2B80" w14:paraId="09ED7843" w14:textId="77777777" w:rsidTr="00316F90">
              <w:trPr>
                <w:trHeight w:val="200"/>
              </w:trPr>
              <w:tc>
                <w:tcPr>
                  <w:tcW w:w="2135" w:type="dxa"/>
                </w:tcPr>
                <w:p w14:paraId="264296E3" w14:textId="2EBEC081" w:rsidR="0063250E" w:rsidRPr="001C2B80" w:rsidRDefault="0063250E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Bronchiectasis</w:t>
                  </w:r>
                </w:p>
              </w:tc>
              <w:tc>
                <w:tcPr>
                  <w:tcW w:w="2135" w:type="dxa"/>
                </w:tcPr>
                <w:p w14:paraId="63A34A3F" w14:textId="0820A829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10/17 (</w:t>
                  </w:r>
                  <w:r w:rsidR="0063250E" w:rsidRPr="001C2B80">
                    <w:rPr>
                      <w:sz w:val="20"/>
                      <w:szCs w:val="20"/>
                    </w:rPr>
                    <w:t>5</w:t>
                  </w:r>
                  <w:r w:rsidRPr="001C2B80">
                    <w:rPr>
                      <w:sz w:val="20"/>
                      <w:szCs w:val="20"/>
                    </w:rPr>
                    <w:t>9</w:t>
                  </w:r>
                  <w:r w:rsidR="0063250E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36" w:type="dxa"/>
                </w:tcPr>
                <w:p w14:paraId="0A642D2E" w14:textId="008A8E29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11/17 (65</w:t>
                  </w:r>
                  <w:r w:rsidR="00A9562F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36" w:type="dxa"/>
                </w:tcPr>
                <w:p w14:paraId="4025EC77" w14:textId="23C44A3D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11/17 (65</w:t>
                  </w:r>
                  <w:r w:rsidR="00A9562F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63250E" w:rsidRPr="001C2B80" w14:paraId="759C95F6" w14:textId="77777777" w:rsidTr="00316F90">
              <w:trPr>
                <w:trHeight w:val="200"/>
              </w:trPr>
              <w:tc>
                <w:tcPr>
                  <w:tcW w:w="2135" w:type="dxa"/>
                </w:tcPr>
                <w:p w14:paraId="762B4C72" w14:textId="711650A0" w:rsidR="0063250E" w:rsidRPr="001C2B80" w:rsidRDefault="0063250E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ILD</w:t>
                  </w:r>
                </w:p>
              </w:tc>
              <w:tc>
                <w:tcPr>
                  <w:tcW w:w="2135" w:type="dxa"/>
                </w:tcPr>
                <w:p w14:paraId="7620B4C3" w14:textId="48B2C61F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12/17 (</w:t>
                  </w:r>
                  <w:r w:rsidR="0063250E" w:rsidRPr="001C2B80">
                    <w:rPr>
                      <w:sz w:val="20"/>
                      <w:szCs w:val="20"/>
                    </w:rPr>
                    <w:t>7</w:t>
                  </w:r>
                  <w:r w:rsidRPr="001C2B80">
                    <w:rPr>
                      <w:sz w:val="20"/>
                      <w:szCs w:val="20"/>
                    </w:rPr>
                    <w:t>0</w:t>
                  </w:r>
                  <w:r w:rsidR="0063250E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36" w:type="dxa"/>
                </w:tcPr>
                <w:p w14:paraId="5FC386B6" w14:textId="24D8A550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14/</w:t>
                  </w:r>
                  <w:r w:rsidR="00A9562F" w:rsidRPr="001C2B80">
                    <w:rPr>
                      <w:sz w:val="20"/>
                      <w:szCs w:val="20"/>
                    </w:rPr>
                    <w:t>1</w:t>
                  </w:r>
                  <w:r w:rsidRPr="001C2B80">
                    <w:rPr>
                      <w:sz w:val="20"/>
                      <w:szCs w:val="20"/>
                    </w:rPr>
                    <w:t>7 (82</w:t>
                  </w:r>
                  <w:r w:rsidR="00A9562F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36" w:type="dxa"/>
                </w:tcPr>
                <w:p w14:paraId="6B13E748" w14:textId="42BABFF4" w:rsidR="0063250E" w:rsidRPr="001C2B80" w:rsidRDefault="00270417" w:rsidP="006325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11/17 (65</w:t>
                  </w:r>
                  <w:r w:rsidR="00A9562F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22494F2A" w14:textId="32157586" w:rsidR="0063250E" w:rsidRPr="001C2B80" w:rsidRDefault="0063250E" w:rsidP="0063250E">
            <w:pPr>
              <w:pStyle w:val="Default"/>
              <w:rPr>
                <w:sz w:val="20"/>
                <w:szCs w:val="20"/>
              </w:rPr>
            </w:pPr>
          </w:p>
          <w:p w14:paraId="7C4A555E" w14:textId="07AF155A" w:rsidR="00316F90" w:rsidRPr="001C2B80" w:rsidRDefault="00316F90" w:rsidP="0063250E">
            <w:pPr>
              <w:pStyle w:val="Default"/>
              <w:rPr>
                <w:sz w:val="20"/>
                <w:szCs w:val="20"/>
              </w:rPr>
            </w:pPr>
            <w:r w:rsidRPr="001C2B80">
              <w:rPr>
                <w:sz w:val="20"/>
                <w:szCs w:val="20"/>
              </w:rPr>
              <w:t>Table2:</w:t>
            </w:r>
            <w:r w:rsidR="002E235C" w:rsidRPr="001C2B80">
              <w:rPr>
                <w:sz w:val="20"/>
                <w:szCs w:val="20"/>
              </w:rPr>
              <w:t xml:space="preserve"> Analysis of percentage of participants per age group that met ATS/ERS criteria for all tests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2851"/>
              <w:gridCol w:w="2851"/>
            </w:tblGrid>
            <w:tr w:rsidR="00351C5C" w:rsidRPr="001C2B80" w14:paraId="368020AD" w14:textId="77777777" w:rsidTr="002E235C">
              <w:trPr>
                <w:trHeight w:val="408"/>
              </w:trPr>
              <w:tc>
                <w:tcPr>
                  <w:tcW w:w="2850" w:type="dxa"/>
                </w:tcPr>
                <w:p w14:paraId="08041ECC" w14:textId="3CE6050E" w:rsidR="00351C5C" w:rsidRPr="001C2B80" w:rsidRDefault="00351C5C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Generational Groups</w:t>
                  </w:r>
                </w:p>
              </w:tc>
              <w:tc>
                <w:tcPr>
                  <w:tcW w:w="2851" w:type="dxa"/>
                </w:tcPr>
                <w:p w14:paraId="211E3F71" w14:textId="40E05A38" w:rsidR="00351C5C" w:rsidRPr="001C2B80" w:rsidRDefault="00351C5C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Participants</w:t>
                  </w:r>
                  <w:r w:rsidR="002E235C" w:rsidRPr="001C2B80">
                    <w:rPr>
                      <w:sz w:val="20"/>
                      <w:szCs w:val="20"/>
                    </w:rPr>
                    <w:t xml:space="preserve"> (n)</w:t>
                  </w:r>
                </w:p>
              </w:tc>
              <w:tc>
                <w:tcPr>
                  <w:tcW w:w="2851" w:type="dxa"/>
                </w:tcPr>
                <w:p w14:paraId="2074A8E5" w14:textId="49E9B9D3" w:rsidR="00351C5C" w:rsidRPr="001C2B80" w:rsidRDefault="002E235C" w:rsidP="002E235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AU"/>
                    </w:rPr>
                  </w:pPr>
                  <w:r w:rsidRPr="001C2B80">
                    <w:rPr>
                      <w:rFonts w:ascii="Arial" w:hAnsi="Arial" w:cs="Arial"/>
                      <w:sz w:val="20"/>
                      <w:szCs w:val="20"/>
                    </w:rPr>
                    <w:t>% Home Spirometry that met ATS/ERS for all tests (%)</w:t>
                  </w:r>
                </w:p>
              </w:tc>
            </w:tr>
            <w:tr w:rsidR="00351C5C" w:rsidRPr="001C2B80" w14:paraId="009812E7" w14:textId="77777777" w:rsidTr="002E235C">
              <w:trPr>
                <w:trHeight w:val="216"/>
              </w:trPr>
              <w:tc>
                <w:tcPr>
                  <w:tcW w:w="2850" w:type="dxa"/>
                </w:tcPr>
                <w:p w14:paraId="6C724B43" w14:textId="7F9E0999" w:rsidR="00351C5C" w:rsidRPr="001C2B80" w:rsidRDefault="00351C5C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Group 1 (18-28)</w:t>
                  </w:r>
                </w:p>
              </w:tc>
              <w:tc>
                <w:tcPr>
                  <w:tcW w:w="2851" w:type="dxa"/>
                </w:tcPr>
                <w:p w14:paraId="77BE2EF1" w14:textId="1FECCC0C" w:rsidR="00351C5C" w:rsidRPr="001C2B80" w:rsidRDefault="001C2B80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51" w:type="dxa"/>
                </w:tcPr>
                <w:p w14:paraId="561BB914" w14:textId="5955C7AC" w:rsidR="00351C5C" w:rsidRPr="001C2B80" w:rsidRDefault="001C2B80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6/8 (</w:t>
                  </w:r>
                  <w:r w:rsidR="002E235C" w:rsidRPr="001C2B80">
                    <w:rPr>
                      <w:sz w:val="20"/>
                      <w:szCs w:val="20"/>
                    </w:rPr>
                    <w:t>7</w:t>
                  </w:r>
                  <w:r w:rsidRPr="001C2B80">
                    <w:rPr>
                      <w:sz w:val="20"/>
                      <w:szCs w:val="20"/>
                    </w:rPr>
                    <w:t>5</w:t>
                  </w:r>
                  <w:r w:rsidR="002E235C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351C5C" w:rsidRPr="001C2B80" w14:paraId="4CF25392" w14:textId="77777777" w:rsidTr="002E235C">
              <w:trPr>
                <w:trHeight w:val="224"/>
              </w:trPr>
              <w:tc>
                <w:tcPr>
                  <w:tcW w:w="2850" w:type="dxa"/>
                </w:tcPr>
                <w:p w14:paraId="6519EB34" w14:textId="5859C931" w:rsidR="00351C5C" w:rsidRPr="001C2B80" w:rsidRDefault="00351C5C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Group 2 (29-43)</w:t>
                  </w:r>
                </w:p>
              </w:tc>
              <w:tc>
                <w:tcPr>
                  <w:tcW w:w="2851" w:type="dxa"/>
                </w:tcPr>
                <w:p w14:paraId="2E610814" w14:textId="19D1FF98" w:rsidR="00351C5C" w:rsidRPr="001C2B80" w:rsidRDefault="001C2B80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851" w:type="dxa"/>
                </w:tcPr>
                <w:p w14:paraId="5B7FB291" w14:textId="0187DBFD" w:rsidR="00351C5C" w:rsidRPr="001C2B80" w:rsidRDefault="001C2B80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9/12 (75</w:t>
                  </w:r>
                  <w:r w:rsidR="002E235C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351C5C" w:rsidRPr="001C2B80" w14:paraId="224CDB27" w14:textId="77777777" w:rsidTr="002E235C">
              <w:trPr>
                <w:trHeight w:val="216"/>
              </w:trPr>
              <w:tc>
                <w:tcPr>
                  <w:tcW w:w="2850" w:type="dxa"/>
                </w:tcPr>
                <w:p w14:paraId="077CDB4A" w14:textId="4F03F304" w:rsidR="00351C5C" w:rsidRPr="001C2B80" w:rsidRDefault="00351C5C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Group 3 (44-58)</w:t>
                  </w:r>
                </w:p>
              </w:tc>
              <w:tc>
                <w:tcPr>
                  <w:tcW w:w="2851" w:type="dxa"/>
                </w:tcPr>
                <w:p w14:paraId="5BF551CA" w14:textId="5A08C9B4" w:rsidR="00351C5C" w:rsidRPr="001C2B80" w:rsidRDefault="001C2B80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851" w:type="dxa"/>
                </w:tcPr>
                <w:p w14:paraId="6D4F9D27" w14:textId="6182EDE5" w:rsidR="00351C5C" w:rsidRPr="001C2B80" w:rsidRDefault="001C2B80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15/19 (79</w:t>
                  </w:r>
                  <w:r w:rsidR="002E235C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351C5C" w:rsidRPr="001C2B80" w14:paraId="10F96F26" w14:textId="77777777" w:rsidTr="002E235C">
              <w:trPr>
                <w:trHeight w:val="224"/>
              </w:trPr>
              <w:tc>
                <w:tcPr>
                  <w:tcW w:w="2850" w:type="dxa"/>
                </w:tcPr>
                <w:p w14:paraId="39D9FBA0" w14:textId="18598468" w:rsidR="00351C5C" w:rsidRPr="001C2B80" w:rsidRDefault="00351C5C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Group 4 (59-76)</w:t>
                  </w:r>
                </w:p>
              </w:tc>
              <w:tc>
                <w:tcPr>
                  <w:tcW w:w="2851" w:type="dxa"/>
                </w:tcPr>
                <w:p w14:paraId="7A970642" w14:textId="4EE06D12" w:rsidR="00351C5C" w:rsidRPr="001C2B80" w:rsidRDefault="001C2B80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851" w:type="dxa"/>
                </w:tcPr>
                <w:p w14:paraId="0ED809B7" w14:textId="42BEA09E" w:rsidR="00351C5C" w:rsidRPr="001C2B80" w:rsidRDefault="001C2B80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23/43 (54</w:t>
                  </w:r>
                  <w:r w:rsidR="002E235C" w:rsidRPr="001C2B80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351C5C" w:rsidRPr="001C2B80" w14:paraId="66C6F604" w14:textId="77777777" w:rsidTr="002E235C">
              <w:trPr>
                <w:trHeight w:val="224"/>
              </w:trPr>
              <w:tc>
                <w:tcPr>
                  <w:tcW w:w="2850" w:type="dxa"/>
                </w:tcPr>
                <w:p w14:paraId="00D93D11" w14:textId="5CC706E0" w:rsidR="00351C5C" w:rsidRPr="001C2B80" w:rsidRDefault="00351C5C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Group 5 (77-88)</w:t>
                  </w:r>
                </w:p>
              </w:tc>
              <w:tc>
                <w:tcPr>
                  <w:tcW w:w="2851" w:type="dxa"/>
                </w:tcPr>
                <w:p w14:paraId="29087551" w14:textId="776430B1" w:rsidR="00351C5C" w:rsidRPr="001C2B80" w:rsidRDefault="001C2B80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51" w:type="dxa"/>
                </w:tcPr>
                <w:p w14:paraId="44896A7C" w14:textId="579D9EA4" w:rsidR="00351C5C" w:rsidRPr="001C2B80" w:rsidRDefault="001C2B80" w:rsidP="00351C5C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C2B80">
                    <w:rPr>
                      <w:sz w:val="20"/>
                      <w:szCs w:val="20"/>
                    </w:rPr>
                    <w:t>5/9 (5</w:t>
                  </w:r>
                  <w:r w:rsidR="002E235C" w:rsidRPr="001C2B80">
                    <w:rPr>
                      <w:sz w:val="20"/>
                      <w:szCs w:val="20"/>
                    </w:rPr>
                    <w:t>5)</w:t>
                  </w:r>
                </w:p>
              </w:tc>
            </w:tr>
          </w:tbl>
          <w:p w14:paraId="048B9381" w14:textId="77777777" w:rsidR="006F4560" w:rsidRDefault="006F4560" w:rsidP="00A17901">
            <w:pPr>
              <w:pStyle w:val="Pa12"/>
              <w:rPr>
                <w:rFonts w:ascii="Times New Roman" w:hAnsi="Times New Roman" w:cs="Times New Roman"/>
                <w:sz w:val="20"/>
                <w:szCs w:val="20"/>
                <w:lang w:val="en-GB" w:eastAsia="en-US"/>
              </w:rPr>
            </w:pPr>
          </w:p>
          <w:p w14:paraId="0685982E" w14:textId="2AE0939C" w:rsidR="00A3182C" w:rsidRPr="001C2B80" w:rsidRDefault="001564A4" w:rsidP="00A17901">
            <w:pPr>
              <w:pStyle w:val="Pa12"/>
              <w:rPr>
                <w:sz w:val="20"/>
                <w:szCs w:val="20"/>
              </w:rPr>
            </w:pPr>
            <w:r w:rsidRPr="001C2B80">
              <w:rPr>
                <w:rStyle w:val="A4"/>
                <w:b/>
                <w:bCs/>
                <w:sz w:val="20"/>
                <w:szCs w:val="20"/>
              </w:rPr>
              <w:t xml:space="preserve">Conclusion: </w:t>
            </w:r>
            <w:r w:rsidR="000313C0" w:rsidRPr="001C2B80">
              <w:rPr>
                <w:sz w:val="20"/>
                <w:szCs w:val="20"/>
              </w:rPr>
              <w:t xml:space="preserve">Findings indicate that lung function assessed by </w:t>
            </w:r>
            <w:proofErr w:type="spellStart"/>
            <w:r w:rsidR="000313C0" w:rsidRPr="001C2B80">
              <w:rPr>
                <w:sz w:val="20"/>
                <w:szCs w:val="20"/>
              </w:rPr>
              <w:t>SpiroHome</w:t>
            </w:r>
            <w:proofErr w:type="spellEnd"/>
            <w:r w:rsidR="000313C0" w:rsidRPr="001C2B80">
              <w:rPr>
                <w:sz w:val="20"/>
                <w:szCs w:val="20"/>
              </w:rPr>
              <w:t xml:space="preserve"> compares well with in-clinic standard desktop spirometry across </w:t>
            </w:r>
            <w:r w:rsidR="0063250E" w:rsidRPr="001C2B80">
              <w:rPr>
                <w:sz w:val="20"/>
                <w:szCs w:val="20"/>
              </w:rPr>
              <w:t xml:space="preserve">most </w:t>
            </w:r>
            <w:r w:rsidR="000313C0" w:rsidRPr="001C2B80">
              <w:rPr>
                <w:sz w:val="20"/>
                <w:szCs w:val="20"/>
              </w:rPr>
              <w:t>diseases in both settings.</w:t>
            </w:r>
            <w:r w:rsidR="0063250E" w:rsidRPr="001C2B80">
              <w:rPr>
                <w:sz w:val="20"/>
                <w:szCs w:val="20"/>
              </w:rPr>
              <w:t xml:space="preserve"> However there is early signalling to suggest there may be a difference in precision in </w:t>
            </w:r>
            <w:r w:rsidR="001C2B80">
              <w:rPr>
                <w:sz w:val="20"/>
                <w:szCs w:val="20"/>
              </w:rPr>
              <w:t>patients with COP</w:t>
            </w:r>
            <w:bookmarkStart w:id="1" w:name="_GoBack"/>
            <w:bookmarkEnd w:id="1"/>
            <w:r w:rsidR="001C2B80">
              <w:rPr>
                <w:sz w:val="20"/>
                <w:szCs w:val="20"/>
              </w:rPr>
              <w:t xml:space="preserve">D and of older age. </w:t>
            </w:r>
          </w:p>
          <w:p w14:paraId="152A3099" w14:textId="77777777" w:rsidR="0044763D" w:rsidRPr="0011002E" w:rsidRDefault="0044763D" w:rsidP="0044763D">
            <w:pPr>
              <w:pStyle w:val="Pa12"/>
              <w:jc w:val="both"/>
              <w:rPr>
                <w:rStyle w:val="A4"/>
              </w:rPr>
            </w:pPr>
            <w:r w:rsidRPr="001C2B80">
              <w:rPr>
                <w:rStyle w:val="A4"/>
                <w:b/>
                <w:bCs/>
                <w:sz w:val="20"/>
                <w:szCs w:val="20"/>
              </w:rPr>
              <w:t xml:space="preserve">Key Words: </w:t>
            </w:r>
            <w:r w:rsidRPr="001C2B80">
              <w:rPr>
                <w:rStyle w:val="A4"/>
                <w:sz w:val="20"/>
                <w:szCs w:val="20"/>
              </w:rPr>
              <w:t>Personal spirometry, chronic</w:t>
            </w:r>
            <w:r w:rsidRPr="00FB5CC7">
              <w:rPr>
                <w:rStyle w:val="A4"/>
                <w:sz w:val="20"/>
                <w:szCs w:val="20"/>
              </w:rPr>
              <w:t xml:space="preserve"> respiratory disease</w:t>
            </w:r>
          </w:p>
          <w:p w14:paraId="7F8381F0" w14:textId="37482127" w:rsidR="001564A4" w:rsidRPr="001C2B80" w:rsidRDefault="001564A4" w:rsidP="000A28E2">
            <w:pPr>
              <w:pStyle w:val="Pa12"/>
              <w:rPr>
                <w:bCs/>
                <w:color w:val="000000"/>
                <w:sz w:val="20"/>
                <w:szCs w:val="20"/>
              </w:rPr>
            </w:pPr>
            <w:r w:rsidRPr="001C2B80">
              <w:rPr>
                <w:rStyle w:val="A4"/>
                <w:b/>
                <w:bCs/>
                <w:sz w:val="20"/>
                <w:szCs w:val="20"/>
              </w:rPr>
              <w:t xml:space="preserve">Grant Support: </w:t>
            </w:r>
            <w:r w:rsidR="00EB51CF" w:rsidRPr="001C2B80">
              <w:rPr>
                <w:rStyle w:val="A4"/>
                <w:sz w:val="20"/>
                <w:szCs w:val="20"/>
              </w:rPr>
              <w:t xml:space="preserve">Institute for Respiratory Health, Novartis, and the Margaret Lowman-Hall honours scholarship stipend. </w:t>
            </w:r>
            <w:proofErr w:type="spellStart"/>
            <w:r w:rsidR="00EB51CF" w:rsidRPr="001C2B80">
              <w:rPr>
                <w:rStyle w:val="A4"/>
                <w:sz w:val="20"/>
                <w:szCs w:val="20"/>
              </w:rPr>
              <w:t>Inofab</w:t>
            </w:r>
            <w:proofErr w:type="spellEnd"/>
            <w:r w:rsidR="00EB51CF" w:rsidRPr="001C2B80">
              <w:rPr>
                <w:rStyle w:val="A4"/>
                <w:sz w:val="20"/>
                <w:szCs w:val="20"/>
              </w:rPr>
              <w:t xml:space="preserve"> has provided temporary free acc</w:t>
            </w:r>
            <w:r w:rsidR="001C2B80">
              <w:rPr>
                <w:rStyle w:val="A4"/>
                <w:sz w:val="20"/>
                <w:szCs w:val="20"/>
              </w:rPr>
              <w:t>ess to their online portal.</w:t>
            </w:r>
            <w:r w:rsidRPr="001C2B80">
              <w:rPr>
                <w:sz w:val="20"/>
                <w:szCs w:val="20"/>
              </w:rPr>
              <w:br/>
            </w:r>
            <w:r w:rsidRPr="001C2B80">
              <w:rPr>
                <w:sz w:val="20"/>
                <w:szCs w:val="20"/>
              </w:rPr>
              <w:br/>
            </w:r>
            <w:r w:rsidRPr="001C2B80">
              <w:rPr>
                <w:sz w:val="20"/>
                <w:szCs w:val="20"/>
              </w:rPr>
              <w:br/>
            </w:r>
            <w:r w:rsidRPr="001C2B80">
              <w:rPr>
                <w:sz w:val="20"/>
                <w:szCs w:val="20"/>
              </w:rPr>
              <w:br/>
            </w:r>
            <w:r w:rsidRPr="001C2B80">
              <w:rPr>
                <w:sz w:val="20"/>
                <w:szCs w:val="20"/>
              </w:rPr>
              <w:br/>
            </w:r>
            <w:r w:rsidRPr="001C2B80">
              <w:rPr>
                <w:sz w:val="20"/>
                <w:szCs w:val="20"/>
              </w:rPr>
              <w:br/>
            </w:r>
            <w:r w:rsidRPr="001C2B80">
              <w:rPr>
                <w:sz w:val="20"/>
                <w:szCs w:val="20"/>
              </w:rPr>
              <w:br/>
            </w:r>
            <w:r w:rsidRPr="001C2B80">
              <w:rPr>
                <w:sz w:val="20"/>
                <w:szCs w:val="20"/>
              </w:rPr>
              <w:br/>
            </w:r>
            <w:r w:rsidRPr="001C2B80">
              <w:rPr>
                <w:sz w:val="20"/>
                <w:szCs w:val="20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B9514" w16cex:dateUtc="2023-10-19T03:44:00Z"/>
  <w16cex:commentExtensible w16cex:durableId="28DB95FB" w16cex:dateUtc="2023-10-19T0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49DFFA" w16cid:durableId="28DB9514"/>
  <w16cid:commentId w16cid:paraId="58812979" w16cid:durableId="28DB95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4"/>
    <w:rsid w:val="000313C0"/>
    <w:rsid w:val="00087F39"/>
    <w:rsid w:val="000B0B6A"/>
    <w:rsid w:val="000F06D2"/>
    <w:rsid w:val="001564A4"/>
    <w:rsid w:val="001C2B80"/>
    <w:rsid w:val="00207372"/>
    <w:rsid w:val="00270417"/>
    <w:rsid w:val="002E235C"/>
    <w:rsid w:val="0030311E"/>
    <w:rsid w:val="00316F90"/>
    <w:rsid w:val="00317E69"/>
    <w:rsid w:val="00351C5C"/>
    <w:rsid w:val="0044763D"/>
    <w:rsid w:val="004F66B6"/>
    <w:rsid w:val="0051574E"/>
    <w:rsid w:val="00616CF7"/>
    <w:rsid w:val="0063250E"/>
    <w:rsid w:val="00666727"/>
    <w:rsid w:val="006F4560"/>
    <w:rsid w:val="00716C25"/>
    <w:rsid w:val="008803FA"/>
    <w:rsid w:val="008D4A95"/>
    <w:rsid w:val="009D4242"/>
    <w:rsid w:val="00A17901"/>
    <w:rsid w:val="00A24F4D"/>
    <w:rsid w:val="00A3182C"/>
    <w:rsid w:val="00A9562F"/>
    <w:rsid w:val="00B12E32"/>
    <w:rsid w:val="00B32FB5"/>
    <w:rsid w:val="00B33381"/>
    <w:rsid w:val="00D3660E"/>
    <w:rsid w:val="00E0700F"/>
    <w:rsid w:val="00E43ADA"/>
    <w:rsid w:val="00EA574A"/>
    <w:rsid w:val="00EB51CF"/>
    <w:rsid w:val="00F51D83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B32FB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2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FB5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FB5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0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35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purl.org/dc/dcmitype/"/>
    <ds:schemaRef ds:uri="6911e96c-4cc4-42d5-8e43-f93924cf6a0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infopath/2007/PartnerControls"/>
    <ds:schemaRef ds:uri="cab52c9b-ab33-4221-8af9-54f8f2b86a8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Claire McLaughlin</cp:lastModifiedBy>
  <cp:revision>3</cp:revision>
  <dcterms:created xsi:type="dcterms:W3CDTF">2023-10-19T07:59:00Z</dcterms:created>
  <dcterms:modified xsi:type="dcterms:W3CDTF">2023-10-19T08:00:00Z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