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4" w:type="dxa"/>
        <w:tblLook w:val="04A0" w:firstRow="1" w:lastRow="0" w:firstColumn="1" w:lastColumn="0" w:noHBand="0" w:noVBand="1"/>
      </w:tblPr>
      <w:tblGrid>
        <w:gridCol w:w="9334"/>
      </w:tblGrid>
      <w:tr w:rsidR="00575172" w:rsidRPr="00045764" w14:paraId="33267E8B" w14:textId="77777777" w:rsidTr="00636268">
        <w:trPr>
          <w:trHeight w:val="771"/>
        </w:trPr>
        <w:tc>
          <w:tcPr>
            <w:tcW w:w="9334" w:type="dxa"/>
            <w:vAlign w:val="center"/>
          </w:tcPr>
          <w:p w14:paraId="61346C2A" w14:textId="3E4AE463" w:rsidR="00575172" w:rsidRPr="00020781" w:rsidRDefault="00357585" w:rsidP="00793CD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D</w:t>
            </w:r>
            <w:r w:rsidRPr="00020781">
              <w:rPr>
                <w:rFonts w:ascii="Arial" w:eastAsia="Arial" w:hAnsi="Arial" w:cs="Arial"/>
                <w:b/>
                <w:bCs/>
                <w:lang w:val="en-US"/>
              </w:rPr>
              <w:t>a</w:t>
            </w:r>
            <w:r w:rsidRPr="00C44BAF">
              <w:rPr>
                <w:rFonts w:ascii="Arial" w:eastAsia="Arial" w:hAnsi="Arial" w:cs="Arial"/>
                <w:b/>
                <w:bCs/>
                <w:lang w:val="en-US"/>
              </w:rPr>
              <w:t>ta</w:t>
            </w:r>
            <w:r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Pr="00020781">
              <w:rPr>
                <w:rFonts w:ascii="Arial" w:eastAsia="Arial" w:hAnsi="Arial" w:cs="Arial"/>
                <w:b/>
                <w:bCs/>
                <w:lang w:val="en-US"/>
              </w:rPr>
              <w:t xml:space="preserve">averaging </w:t>
            </w:r>
            <w:r>
              <w:rPr>
                <w:rFonts w:ascii="Arial" w:eastAsia="Arial" w:hAnsi="Arial" w:cs="Arial"/>
                <w:b/>
                <w:bCs/>
                <w:lang w:val="en-US"/>
              </w:rPr>
              <w:t>does not affect</w:t>
            </w:r>
            <w:r w:rsidRPr="00020781">
              <w:rPr>
                <w:rFonts w:ascii="Arial" w:eastAsia="Arial" w:hAnsi="Arial" w:cs="Arial"/>
                <w:b/>
                <w:bCs/>
                <w:lang w:val="en-US"/>
              </w:rPr>
              <w:t xml:space="preserve"> dead</w:t>
            </w:r>
            <w:r>
              <w:rPr>
                <w:rFonts w:ascii="Arial" w:eastAsia="Arial" w:hAnsi="Arial" w:cs="Arial"/>
                <w:b/>
                <w:bCs/>
                <w:lang w:val="en-US"/>
              </w:rPr>
              <w:t>-</w:t>
            </w:r>
            <w:r w:rsidRPr="00020781">
              <w:rPr>
                <w:rFonts w:ascii="Arial" w:eastAsia="Arial" w:hAnsi="Arial" w:cs="Arial"/>
                <w:b/>
                <w:bCs/>
                <w:lang w:val="en-US"/>
              </w:rPr>
              <w:t>space ventilation</w:t>
            </w:r>
            <w:r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Pr="00020781">
              <w:rPr>
                <w:rFonts w:ascii="Arial" w:eastAsia="Arial" w:hAnsi="Arial" w:cs="Arial"/>
                <w:b/>
                <w:bCs/>
                <w:lang w:val="en-US"/>
              </w:rPr>
              <w:t>calculation during CPET</w:t>
            </w:r>
          </w:p>
        </w:tc>
      </w:tr>
      <w:tr w:rsidR="00575172" w:rsidRPr="00045764" w14:paraId="0D65CD89" w14:textId="77777777" w:rsidTr="00636268">
        <w:trPr>
          <w:trHeight w:val="440"/>
        </w:trPr>
        <w:tc>
          <w:tcPr>
            <w:tcW w:w="9334" w:type="dxa"/>
            <w:vAlign w:val="center"/>
          </w:tcPr>
          <w:p w14:paraId="66D17AED" w14:textId="211AB234" w:rsidR="00575172" w:rsidRPr="00793CD2" w:rsidRDefault="00412646" w:rsidP="00793CD2">
            <w:pPr>
              <w:rPr>
                <w:rFonts w:ascii="Arial" w:hAnsi="Arial" w:cs="Arial"/>
              </w:rPr>
            </w:pPr>
            <w:r w:rsidRPr="00793CD2">
              <w:rPr>
                <w:rFonts w:ascii="Arial" w:hAnsi="Arial" w:cs="Arial"/>
              </w:rPr>
              <w:t>N Alberto</w:t>
            </w:r>
            <w:r w:rsidRPr="00793CD2">
              <w:rPr>
                <w:rFonts w:ascii="Arial" w:hAnsi="Arial" w:cs="Arial"/>
                <w:vertAlign w:val="superscript"/>
              </w:rPr>
              <w:t>1</w:t>
            </w:r>
            <w:r w:rsidR="005F38DF" w:rsidRPr="00793CD2">
              <w:rPr>
                <w:rFonts w:ascii="Arial" w:hAnsi="Arial" w:cs="Arial"/>
              </w:rPr>
              <w:t>, CS Farah</w:t>
            </w:r>
            <w:r w:rsidR="005F38DF" w:rsidRPr="00793CD2">
              <w:rPr>
                <w:rFonts w:ascii="Arial" w:hAnsi="Arial" w:cs="Arial"/>
                <w:vertAlign w:val="superscript"/>
              </w:rPr>
              <w:t>1,</w:t>
            </w:r>
            <w:proofErr w:type="gramStart"/>
            <w:r w:rsidR="005F38DF" w:rsidRPr="00793CD2">
              <w:rPr>
                <w:rFonts w:ascii="Arial" w:hAnsi="Arial" w:cs="Arial"/>
                <w:vertAlign w:val="superscript"/>
              </w:rPr>
              <w:t>2</w:t>
            </w:r>
            <w:r w:rsidR="005F38DF" w:rsidRPr="00793CD2">
              <w:rPr>
                <w:rFonts w:ascii="Arial" w:hAnsi="Arial" w:cs="Arial"/>
              </w:rPr>
              <w:t>,</w:t>
            </w:r>
            <w:r w:rsidRPr="00793CD2">
              <w:rPr>
                <w:rFonts w:ascii="Arial" w:hAnsi="Arial" w:cs="Arial"/>
                <w:vertAlign w:val="superscript"/>
              </w:rPr>
              <w:t xml:space="preserve">  </w:t>
            </w:r>
            <w:r w:rsidRPr="00793CD2">
              <w:rPr>
                <w:rFonts w:ascii="Arial" w:hAnsi="Arial" w:cs="Arial"/>
              </w:rPr>
              <w:t>LM</w:t>
            </w:r>
            <w:proofErr w:type="gramEnd"/>
            <w:r w:rsidRPr="00793CD2">
              <w:rPr>
                <w:rFonts w:ascii="Arial" w:hAnsi="Arial" w:cs="Arial"/>
              </w:rPr>
              <w:t xml:space="preserve"> Seccombe </w:t>
            </w:r>
            <w:r w:rsidR="008D5B81" w:rsidRPr="00793CD2">
              <w:rPr>
                <w:rFonts w:ascii="Arial" w:hAnsi="Arial" w:cs="Arial"/>
                <w:vertAlign w:val="superscript"/>
              </w:rPr>
              <w:t>1,2</w:t>
            </w:r>
          </w:p>
        </w:tc>
      </w:tr>
      <w:tr w:rsidR="00575172" w:rsidRPr="00045764" w14:paraId="2A4ED064" w14:textId="77777777" w:rsidTr="00636268">
        <w:trPr>
          <w:trHeight w:val="130"/>
        </w:trPr>
        <w:tc>
          <w:tcPr>
            <w:tcW w:w="9334" w:type="dxa"/>
            <w:vAlign w:val="center"/>
          </w:tcPr>
          <w:p w14:paraId="158AC8C7" w14:textId="77777777" w:rsidR="00575172" w:rsidRPr="00793CD2" w:rsidRDefault="00575172" w:rsidP="00793CD2">
            <w:pPr>
              <w:spacing w:before="120" w:after="120"/>
              <w:rPr>
                <w:rFonts w:ascii="Arial" w:hAnsi="Arial" w:cs="Arial"/>
              </w:rPr>
            </w:pPr>
            <w:r w:rsidRPr="00C44BAF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1</w:t>
            </w:r>
            <w:r w:rsidRPr="00C44BAF">
              <w:rPr>
                <w:rFonts w:ascii="Arial" w:eastAsia="Arial" w:hAnsi="Arial" w:cs="Arial"/>
                <w:i/>
                <w:iCs/>
                <w:lang w:val="en-US"/>
              </w:rPr>
              <w:t>Department of Thoracic Medicine, Concord Repatriation General Hospital, Sydney, Australia.</w:t>
            </w:r>
          </w:p>
          <w:p w14:paraId="08454321" w14:textId="77777777" w:rsidR="00575172" w:rsidRPr="00C44BAF" w:rsidRDefault="00575172" w:rsidP="00793CD2">
            <w:pPr>
              <w:rPr>
                <w:rFonts w:ascii="Arial" w:eastAsia="Arial" w:hAnsi="Arial" w:cs="Arial"/>
                <w:i/>
                <w:iCs/>
                <w:lang w:val="en-US"/>
              </w:rPr>
            </w:pPr>
            <w:r w:rsidRPr="00C44BAF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2</w:t>
            </w:r>
            <w:r w:rsidRPr="00C44BAF">
              <w:rPr>
                <w:rFonts w:ascii="Arial" w:eastAsia="Arial" w:hAnsi="Arial" w:cs="Arial"/>
                <w:i/>
                <w:iCs/>
                <w:lang w:val="en-US"/>
              </w:rPr>
              <w:t>Faculty of Medicine and Health, The University of Sydney, Australia</w:t>
            </w:r>
          </w:p>
          <w:p w14:paraId="642CEB61" w14:textId="77777777" w:rsidR="00575172" w:rsidRPr="00793CD2" w:rsidRDefault="00575172" w:rsidP="00793CD2">
            <w:pPr>
              <w:rPr>
                <w:rFonts w:ascii="Arial" w:hAnsi="Arial" w:cs="Arial"/>
              </w:rPr>
            </w:pPr>
          </w:p>
        </w:tc>
      </w:tr>
      <w:tr w:rsidR="00575172" w:rsidRPr="007E720B" w14:paraId="37F4D773" w14:textId="77777777" w:rsidTr="00636268">
        <w:trPr>
          <w:trHeight w:val="11220"/>
        </w:trPr>
        <w:tc>
          <w:tcPr>
            <w:tcW w:w="9334" w:type="dxa"/>
          </w:tcPr>
          <w:p w14:paraId="7881153A" w14:textId="59CC86BA" w:rsidR="005F38DF" w:rsidRPr="00793CD2" w:rsidRDefault="00575172" w:rsidP="00793CD2">
            <w:pPr>
              <w:spacing w:before="120" w:after="120"/>
              <w:rPr>
                <w:rStyle w:val="A4"/>
                <w:rFonts w:ascii="Arial" w:hAnsi="Arial" w:cs="Arial"/>
                <w:b/>
                <w:bCs/>
              </w:rPr>
            </w:pPr>
            <w:r w:rsidRPr="00793CD2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</w:p>
          <w:p w14:paraId="1EBF820F" w14:textId="5DF63567" w:rsidR="00C44BAF" w:rsidRDefault="00073CDF" w:rsidP="00793CD2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bookmarkStart w:id="0" w:name="_Hlk148452125"/>
            <w:r w:rsidRPr="00793CD2">
              <w:rPr>
                <w:rStyle w:val="A4"/>
                <w:rFonts w:ascii="Arial" w:hAnsi="Arial" w:cs="Arial"/>
              </w:rPr>
              <w:t xml:space="preserve">Dead space ventilation </w:t>
            </w:r>
            <w:r w:rsidR="005F38DF" w:rsidRPr="00793CD2">
              <w:rPr>
                <w:rStyle w:val="A4"/>
                <w:rFonts w:ascii="Arial" w:hAnsi="Arial" w:cs="Arial"/>
              </w:rPr>
              <w:t>(V</w:t>
            </w:r>
            <w:r w:rsidR="005F38DF" w:rsidRPr="002D6AA5">
              <w:rPr>
                <w:rStyle w:val="A4"/>
                <w:rFonts w:ascii="Arial" w:hAnsi="Arial" w:cs="Arial"/>
                <w:vertAlign w:val="subscript"/>
              </w:rPr>
              <w:t>D</w:t>
            </w:r>
            <w:r w:rsidR="005F38DF" w:rsidRPr="00793CD2">
              <w:rPr>
                <w:rStyle w:val="A4"/>
                <w:rFonts w:ascii="Arial" w:hAnsi="Arial" w:cs="Arial"/>
              </w:rPr>
              <w:t>/V</w:t>
            </w:r>
            <w:r w:rsidR="005F38DF" w:rsidRPr="002D6AA5">
              <w:rPr>
                <w:rStyle w:val="A4"/>
                <w:rFonts w:ascii="Arial" w:hAnsi="Arial" w:cs="Arial"/>
                <w:vertAlign w:val="subscript"/>
              </w:rPr>
              <w:t>T</w:t>
            </w:r>
            <w:r w:rsidR="005F38DF" w:rsidRPr="00793CD2">
              <w:rPr>
                <w:rStyle w:val="A4"/>
                <w:rFonts w:ascii="Arial" w:hAnsi="Arial" w:cs="Arial"/>
              </w:rPr>
              <w:t xml:space="preserve">) at rest and during exercise </w:t>
            </w:r>
            <w:r w:rsidRPr="00793CD2">
              <w:rPr>
                <w:rStyle w:val="A4"/>
                <w:rFonts w:ascii="Arial" w:hAnsi="Arial" w:cs="Arial"/>
              </w:rPr>
              <w:t>is an important</w:t>
            </w:r>
            <w:r w:rsidRPr="00793CD2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5F38DF" w:rsidRPr="00793CD2">
              <w:rPr>
                <w:rStyle w:val="A4"/>
                <w:rFonts w:ascii="Arial" w:hAnsi="Arial" w:cs="Arial"/>
              </w:rPr>
              <w:t xml:space="preserve">diagnostic and prognostic </w:t>
            </w:r>
            <w:r w:rsidRPr="00793CD2">
              <w:rPr>
                <w:rFonts w:ascii="Arial" w:eastAsia="Arial" w:hAnsi="Arial" w:cs="Arial"/>
                <w:color w:val="000000" w:themeColor="text1"/>
              </w:rPr>
              <w:t xml:space="preserve">parameter within 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>cardiopulmonary exercise testing (</w:t>
            </w:r>
            <w:r w:rsidRPr="00793CD2">
              <w:rPr>
                <w:rFonts w:ascii="Arial" w:eastAsia="Arial" w:hAnsi="Arial" w:cs="Arial"/>
                <w:color w:val="000000" w:themeColor="text1"/>
              </w:rPr>
              <w:t>CPET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>)</w:t>
            </w:r>
            <w:r w:rsidRPr="00793CD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7C5AF3">
              <w:rPr>
                <w:rFonts w:ascii="Arial" w:eastAsia="Arial" w:hAnsi="Arial" w:cs="Arial"/>
                <w:color w:val="000000" w:themeColor="text1"/>
              </w:rPr>
              <w:t>Calculating V</w:t>
            </w:r>
            <w:r w:rsidR="007C5AF3" w:rsidRPr="002D6AA5">
              <w:rPr>
                <w:rFonts w:ascii="Arial" w:eastAsia="Arial" w:hAnsi="Arial" w:cs="Arial"/>
                <w:color w:val="000000" w:themeColor="text1"/>
                <w:vertAlign w:val="subscript"/>
              </w:rPr>
              <w:t>D</w:t>
            </w:r>
            <w:r w:rsidR="007C5AF3">
              <w:rPr>
                <w:rFonts w:ascii="Arial" w:eastAsia="Arial" w:hAnsi="Arial" w:cs="Arial"/>
                <w:color w:val="000000" w:themeColor="text1"/>
              </w:rPr>
              <w:t>/V</w:t>
            </w:r>
            <w:r w:rsidR="007C5AF3" w:rsidRPr="002D6AA5">
              <w:rPr>
                <w:rFonts w:ascii="Arial" w:eastAsia="Arial" w:hAnsi="Arial" w:cs="Arial"/>
                <w:color w:val="000000" w:themeColor="text1"/>
                <w:vertAlign w:val="subscript"/>
              </w:rPr>
              <w:t>T</w:t>
            </w:r>
            <w:r w:rsidR="007C5AF3">
              <w:rPr>
                <w:rFonts w:ascii="Arial" w:eastAsia="Arial" w:hAnsi="Arial" w:cs="Arial"/>
                <w:color w:val="000000" w:themeColor="text1"/>
              </w:rPr>
              <w:t xml:space="preserve"> requires the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 xml:space="preserve"> PaCO</w:t>
            </w:r>
            <w:r w:rsidR="007C5AF3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7C5AF3">
              <w:rPr>
                <w:rFonts w:ascii="Arial" w:eastAsia="Arial" w:hAnsi="Arial" w:cs="Arial"/>
                <w:color w:val="000000" w:themeColor="text1"/>
              </w:rPr>
              <w:t>from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 xml:space="preserve"> an arterial blood gas (ABG)</w:t>
            </w:r>
            <w:r w:rsidR="007C5AF3">
              <w:rPr>
                <w:rFonts w:ascii="Arial" w:eastAsia="Arial" w:hAnsi="Arial" w:cs="Arial"/>
                <w:color w:val="000000" w:themeColor="text1"/>
              </w:rPr>
              <w:t xml:space="preserve"> paired at the same time with the 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>pressure of exhaled CO2 (P</w:t>
            </w:r>
            <w:r w:rsidR="007C5AF3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E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>CO</w:t>
            </w:r>
            <w:r w:rsidR="007C5AF3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>) and V</w:t>
            </w:r>
            <w:r w:rsidR="007C5AF3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E</w:t>
            </w:r>
            <w:r w:rsidR="007C5AF3" w:rsidRPr="00793CD2">
              <w:rPr>
                <w:rFonts w:ascii="Arial" w:eastAsia="Arial" w:hAnsi="Arial" w:cs="Arial"/>
                <w:color w:val="000000" w:themeColor="text1"/>
              </w:rPr>
              <w:t>.</w:t>
            </w:r>
            <w:r w:rsidR="007C5AF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93CD2">
              <w:rPr>
                <w:rFonts w:ascii="Arial" w:eastAsia="Arial" w:hAnsi="Arial" w:cs="Arial"/>
                <w:color w:val="000000" w:themeColor="text1"/>
              </w:rPr>
              <w:t xml:space="preserve">There are no standards on </w:t>
            </w:r>
            <w:r w:rsidR="00B852E3" w:rsidRPr="00793CD2">
              <w:rPr>
                <w:rFonts w:ascii="Arial" w:eastAsia="Arial" w:hAnsi="Arial" w:cs="Arial"/>
                <w:color w:val="000000" w:themeColor="text1"/>
              </w:rPr>
              <w:t xml:space="preserve">the ideal </w:t>
            </w:r>
            <w:r w:rsidRPr="00793CD2">
              <w:rPr>
                <w:rFonts w:ascii="Arial" w:eastAsia="Arial" w:hAnsi="Arial" w:cs="Arial"/>
                <w:color w:val="000000" w:themeColor="text1"/>
              </w:rPr>
              <w:t>data averaging setting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 xml:space="preserve">s </w:t>
            </w:r>
            <w:r w:rsidR="005F38DF" w:rsidRPr="00793CD2">
              <w:rPr>
                <w:rFonts w:ascii="Arial" w:eastAsia="Arial" w:hAnsi="Arial" w:cs="Arial"/>
                <w:color w:val="000000" w:themeColor="text1"/>
              </w:rPr>
              <w:t>for P</w:t>
            </w:r>
            <w:r w:rsidR="005F38DF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E</w:t>
            </w:r>
            <w:r w:rsidR="005F38DF" w:rsidRPr="00793CD2">
              <w:rPr>
                <w:rFonts w:ascii="Arial" w:eastAsia="Arial" w:hAnsi="Arial" w:cs="Arial"/>
                <w:color w:val="000000" w:themeColor="text1"/>
              </w:rPr>
              <w:t>CO</w:t>
            </w:r>
            <w:r w:rsidR="005F38DF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="005F38DF" w:rsidRPr="00793CD2">
              <w:rPr>
                <w:rFonts w:ascii="Arial" w:eastAsia="Arial" w:hAnsi="Arial" w:cs="Arial"/>
                <w:color w:val="000000" w:themeColor="text1"/>
              </w:rPr>
              <w:t xml:space="preserve"> and V</w:t>
            </w:r>
            <w:r w:rsidR="005F38DF" w:rsidRPr="00793CD2">
              <w:rPr>
                <w:rFonts w:ascii="Arial" w:eastAsia="Arial" w:hAnsi="Arial" w:cs="Arial"/>
                <w:color w:val="000000" w:themeColor="text1"/>
                <w:vertAlign w:val="subscript"/>
              </w:rPr>
              <w:t>E</w:t>
            </w:r>
            <w:r w:rsidR="00813A5C" w:rsidRPr="00793CD2">
              <w:rPr>
                <w:rFonts w:ascii="Arial" w:eastAsia="Arial" w:hAnsi="Arial" w:cs="Arial"/>
                <w:color w:val="000000" w:themeColor="text1"/>
              </w:rPr>
              <w:t>. This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 xml:space="preserve"> study was conducted to determine the effects of </w:t>
            </w:r>
            <w:r w:rsidR="00E30010">
              <w:rPr>
                <w:rFonts w:ascii="Arial" w:eastAsia="Arial" w:hAnsi="Arial" w:cs="Arial"/>
                <w:color w:val="000000" w:themeColor="text1"/>
              </w:rPr>
              <w:t xml:space="preserve">varied 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>data averag</w:t>
            </w:r>
            <w:r w:rsidR="005F38DF" w:rsidRPr="00793CD2">
              <w:rPr>
                <w:rFonts w:ascii="Arial" w:eastAsia="Arial" w:hAnsi="Arial" w:cs="Arial"/>
                <w:color w:val="000000" w:themeColor="text1"/>
              </w:rPr>
              <w:t>ing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 xml:space="preserve"> on V</w:t>
            </w:r>
            <w:r w:rsidR="00094A0F" w:rsidRPr="002D6AA5">
              <w:rPr>
                <w:rFonts w:ascii="Arial" w:eastAsia="Arial" w:hAnsi="Arial" w:cs="Arial"/>
                <w:color w:val="000000" w:themeColor="text1"/>
                <w:vertAlign w:val="subscript"/>
              </w:rPr>
              <w:t>D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>/V</w:t>
            </w:r>
            <w:r w:rsidR="00094A0F" w:rsidRPr="002D6AA5">
              <w:rPr>
                <w:rFonts w:ascii="Arial" w:eastAsia="Arial" w:hAnsi="Arial" w:cs="Arial"/>
                <w:color w:val="000000" w:themeColor="text1"/>
                <w:vertAlign w:val="subscript"/>
              </w:rPr>
              <w:t>T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 xml:space="preserve"> calculations in </w:t>
            </w:r>
            <w:r w:rsidR="00094A0F" w:rsidRPr="00AC27F7">
              <w:rPr>
                <w:rFonts w:ascii="Arial" w:eastAsia="Arial" w:hAnsi="Arial" w:cs="Arial"/>
                <w:color w:val="000000" w:themeColor="text1"/>
              </w:rPr>
              <w:t xml:space="preserve">patients </w:t>
            </w:r>
            <w:r w:rsidR="00E30010" w:rsidRPr="00AC27F7">
              <w:rPr>
                <w:rFonts w:ascii="Arial" w:eastAsia="Arial" w:hAnsi="Arial" w:cs="Arial"/>
                <w:color w:val="000000" w:themeColor="text1"/>
              </w:rPr>
              <w:t>referred</w:t>
            </w:r>
            <w:r w:rsidR="00E30010">
              <w:rPr>
                <w:rFonts w:ascii="Arial" w:eastAsia="Arial" w:hAnsi="Arial" w:cs="Arial"/>
                <w:color w:val="000000" w:themeColor="text1"/>
              </w:rPr>
              <w:t xml:space="preserve"> for</w:t>
            </w:r>
            <w:r w:rsidR="00E30010" w:rsidRPr="00793CD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094A0F" w:rsidRPr="00793CD2">
              <w:rPr>
                <w:rFonts w:ascii="Arial" w:eastAsia="Arial" w:hAnsi="Arial" w:cs="Arial"/>
                <w:color w:val="000000" w:themeColor="text1"/>
              </w:rPr>
              <w:t>clinical CPET.</w:t>
            </w:r>
          </w:p>
          <w:bookmarkEnd w:id="0"/>
          <w:p w14:paraId="0E1163E9" w14:textId="073BDDFA" w:rsidR="00921600" w:rsidRPr="00793CD2" w:rsidRDefault="00575172" w:rsidP="00793CD2">
            <w:pPr>
              <w:spacing w:before="120" w:after="120"/>
              <w:rPr>
                <w:rStyle w:val="A4"/>
                <w:rFonts w:ascii="Arial" w:hAnsi="Arial" w:cs="Arial"/>
                <w:b/>
                <w:bCs/>
              </w:rPr>
            </w:pPr>
            <w:r w:rsidRPr="00793CD2">
              <w:rPr>
                <w:rStyle w:val="A4"/>
                <w:rFonts w:ascii="Arial" w:hAnsi="Arial" w:cs="Arial"/>
                <w:b/>
                <w:bCs/>
              </w:rPr>
              <w:t xml:space="preserve">Method: </w:t>
            </w:r>
          </w:p>
          <w:p w14:paraId="6036BE09" w14:textId="189FDF29" w:rsidR="00A54EAB" w:rsidRPr="00E35C9F" w:rsidRDefault="00094A0F" w:rsidP="00793CD2">
            <w:pPr>
              <w:spacing w:before="120" w:after="120"/>
              <w:rPr>
                <w:rStyle w:val="A4"/>
                <w:rFonts w:ascii="Arial" w:hAnsi="Arial" w:cs="Arial"/>
              </w:rPr>
            </w:pPr>
            <w:bookmarkStart w:id="1" w:name="_Hlk148452128"/>
            <w:r w:rsidRPr="00E35C9F">
              <w:rPr>
                <w:rStyle w:val="A4"/>
                <w:rFonts w:ascii="Arial" w:hAnsi="Arial" w:cs="Arial"/>
              </w:rPr>
              <w:t>CPET measurements (</w:t>
            </w:r>
            <w:r w:rsidR="00045764" w:rsidRPr="00E35C9F">
              <w:rPr>
                <w:rStyle w:val="A4"/>
                <w:rFonts w:ascii="Arial" w:hAnsi="Arial" w:cs="Arial"/>
              </w:rPr>
              <w:t xml:space="preserve">Quark, </w:t>
            </w:r>
            <w:r w:rsidRPr="00E35C9F">
              <w:rPr>
                <w:rStyle w:val="A4"/>
                <w:rFonts w:ascii="Arial" w:hAnsi="Arial" w:cs="Arial"/>
              </w:rPr>
              <w:t>Cosmed</w:t>
            </w:r>
            <w:r w:rsidR="00045764" w:rsidRPr="00E35C9F">
              <w:rPr>
                <w:rStyle w:val="A4"/>
                <w:rFonts w:ascii="Arial" w:hAnsi="Arial" w:cs="Arial"/>
              </w:rPr>
              <w:t>, It.</w:t>
            </w:r>
            <w:r w:rsidRPr="00E35C9F">
              <w:rPr>
                <w:rStyle w:val="A4"/>
                <w:rFonts w:ascii="Arial" w:hAnsi="Arial" w:cs="Arial"/>
              </w:rPr>
              <w:t xml:space="preserve">) </w:t>
            </w:r>
            <w:r w:rsidR="00045764" w:rsidRPr="00E35C9F">
              <w:rPr>
                <w:rStyle w:val="A4"/>
                <w:rFonts w:ascii="Arial" w:hAnsi="Arial" w:cs="Arial"/>
              </w:rPr>
              <w:t>that included</w:t>
            </w:r>
            <w:r w:rsidRPr="00E35C9F">
              <w:rPr>
                <w:rStyle w:val="A4"/>
                <w:rFonts w:ascii="Arial" w:hAnsi="Arial" w:cs="Arial"/>
              </w:rPr>
              <w:t xml:space="preserve"> ABG</w:t>
            </w:r>
            <w:r w:rsidR="00045764" w:rsidRPr="00E35C9F">
              <w:rPr>
                <w:rStyle w:val="A4"/>
                <w:rFonts w:ascii="Arial" w:hAnsi="Arial" w:cs="Arial"/>
              </w:rPr>
              <w:t xml:space="preserve"> samples</w:t>
            </w:r>
            <w:r w:rsidRPr="00E35C9F">
              <w:rPr>
                <w:rStyle w:val="A4"/>
                <w:rFonts w:ascii="Arial" w:hAnsi="Arial" w:cs="Arial"/>
              </w:rPr>
              <w:t xml:space="preserve"> </w:t>
            </w:r>
            <w:r w:rsidR="002862AC" w:rsidRPr="00E35C9F">
              <w:rPr>
                <w:rStyle w:val="A4"/>
                <w:rFonts w:ascii="Arial" w:hAnsi="Arial" w:cs="Arial"/>
              </w:rPr>
              <w:t>a</w:t>
            </w:r>
            <w:r w:rsidR="002862AC" w:rsidRPr="00636268">
              <w:rPr>
                <w:rStyle w:val="A4"/>
                <w:rFonts w:ascii="Arial" w:hAnsi="Arial" w:cs="Arial"/>
              </w:rPr>
              <w:t>t baseline</w:t>
            </w:r>
            <w:r w:rsidR="002862AC" w:rsidRPr="00E35C9F">
              <w:rPr>
                <w:rStyle w:val="A4"/>
                <w:rFonts w:ascii="Arial" w:hAnsi="Arial" w:cs="Arial"/>
              </w:rPr>
              <w:t xml:space="preserve"> </w:t>
            </w:r>
            <w:r w:rsidRPr="00E35C9F">
              <w:rPr>
                <w:rStyle w:val="A4"/>
                <w:rFonts w:ascii="Arial" w:hAnsi="Arial" w:cs="Arial"/>
              </w:rPr>
              <w:t xml:space="preserve">and </w:t>
            </w:r>
            <w:r w:rsidR="00045764" w:rsidRPr="00E35C9F">
              <w:rPr>
                <w:rStyle w:val="A4"/>
                <w:rFonts w:ascii="Arial" w:hAnsi="Arial" w:cs="Arial"/>
              </w:rPr>
              <w:t>near</w:t>
            </w:r>
            <w:r w:rsidRPr="00E35C9F">
              <w:rPr>
                <w:rStyle w:val="A4"/>
                <w:rFonts w:ascii="Arial" w:hAnsi="Arial" w:cs="Arial"/>
              </w:rPr>
              <w:t xml:space="preserve"> VO</w:t>
            </w:r>
            <w:r w:rsidRPr="002D6AA5">
              <w:rPr>
                <w:rStyle w:val="A4"/>
                <w:rFonts w:ascii="Arial" w:hAnsi="Arial" w:cs="Arial"/>
                <w:vertAlign w:val="subscript"/>
              </w:rPr>
              <w:t>2</w:t>
            </w:r>
            <w:r w:rsidR="00536226">
              <w:rPr>
                <w:rStyle w:val="A4"/>
                <w:rFonts w:ascii="Arial" w:hAnsi="Arial" w:cs="Arial"/>
                <w:vertAlign w:val="subscript"/>
              </w:rPr>
              <w:t xml:space="preserve"> </w:t>
            </w:r>
            <w:r w:rsidRPr="00536226">
              <w:rPr>
                <w:rStyle w:val="A4"/>
                <w:rFonts w:ascii="Arial" w:hAnsi="Arial" w:cs="Arial"/>
              </w:rPr>
              <w:t>peak</w:t>
            </w:r>
            <w:r w:rsidR="00045764" w:rsidRPr="00E35C9F">
              <w:rPr>
                <w:rStyle w:val="A4"/>
                <w:rFonts w:ascii="Arial" w:hAnsi="Arial" w:cs="Arial"/>
              </w:rPr>
              <w:t xml:space="preserve"> were reviewed</w:t>
            </w:r>
            <w:r w:rsidRPr="00E35C9F">
              <w:rPr>
                <w:rStyle w:val="A4"/>
                <w:rFonts w:ascii="Arial" w:hAnsi="Arial" w:cs="Arial"/>
              </w:rPr>
              <w:t xml:space="preserve">. </w:t>
            </w:r>
            <w:r w:rsidR="00045764" w:rsidRPr="00E35C9F">
              <w:rPr>
                <w:rStyle w:val="A4"/>
                <w:rFonts w:ascii="Arial" w:hAnsi="Arial" w:cs="Arial"/>
              </w:rPr>
              <w:t>P</w:t>
            </w:r>
            <w:r w:rsidR="00045764" w:rsidRPr="00E35C9F">
              <w:rPr>
                <w:rStyle w:val="A4"/>
                <w:rFonts w:ascii="Arial" w:hAnsi="Arial" w:cs="Arial"/>
                <w:vertAlign w:val="subscript"/>
              </w:rPr>
              <w:t>E</w:t>
            </w:r>
            <w:r w:rsidR="00045764" w:rsidRPr="00E35C9F">
              <w:rPr>
                <w:rStyle w:val="A4"/>
                <w:rFonts w:ascii="Arial" w:hAnsi="Arial" w:cs="Arial"/>
              </w:rPr>
              <w:t>CO</w:t>
            </w:r>
            <w:r w:rsidR="00045764" w:rsidRPr="00E35C9F">
              <w:rPr>
                <w:rStyle w:val="A4"/>
                <w:rFonts w:ascii="Arial" w:hAnsi="Arial" w:cs="Arial"/>
                <w:vertAlign w:val="subscript"/>
              </w:rPr>
              <w:t>2</w:t>
            </w:r>
            <w:r w:rsidR="00045764" w:rsidRPr="00E35C9F">
              <w:rPr>
                <w:rStyle w:val="A4"/>
                <w:rFonts w:ascii="Arial" w:hAnsi="Arial" w:cs="Arial"/>
              </w:rPr>
              <w:t>, and V</w:t>
            </w:r>
            <w:r w:rsidR="00045764" w:rsidRPr="00E35C9F">
              <w:rPr>
                <w:rStyle w:val="A4"/>
                <w:rFonts w:ascii="Arial" w:hAnsi="Arial" w:cs="Arial"/>
                <w:vertAlign w:val="subscript"/>
              </w:rPr>
              <w:t>E</w:t>
            </w:r>
            <w:r w:rsidR="00045764" w:rsidRPr="00E35C9F">
              <w:rPr>
                <w:rStyle w:val="A4"/>
                <w:rFonts w:ascii="Arial" w:hAnsi="Arial" w:cs="Arial"/>
              </w:rPr>
              <w:t xml:space="preserve"> </w:t>
            </w:r>
            <w:r w:rsidR="00D26BCF" w:rsidRPr="00E35C9F">
              <w:rPr>
                <w:rStyle w:val="A4"/>
                <w:rFonts w:ascii="Arial" w:hAnsi="Arial" w:cs="Arial"/>
              </w:rPr>
              <w:t xml:space="preserve">from </w:t>
            </w:r>
            <w:r w:rsidR="009D4586" w:rsidRPr="00E35C9F">
              <w:rPr>
                <w:rStyle w:val="A4"/>
                <w:rFonts w:ascii="Arial" w:hAnsi="Arial" w:cs="Arial"/>
              </w:rPr>
              <w:t>e</w:t>
            </w:r>
            <w:r w:rsidR="009D4586" w:rsidRPr="00636268">
              <w:rPr>
                <w:rStyle w:val="A4"/>
                <w:rFonts w:ascii="Arial" w:hAnsi="Arial" w:cs="Arial"/>
              </w:rPr>
              <w:t xml:space="preserve">nd tidal </w:t>
            </w:r>
            <w:r w:rsidR="00045764" w:rsidRPr="00E35C9F">
              <w:rPr>
                <w:rStyle w:val="A4"/>
                <w:rFonts w:ascii="Arial" w:hAnsi="Arial" w:cs="Arial"/>
              </w:rPr>
              <w:t xml:space="preserve">sample </w:t>
            </w:r>
            <w:r w:rsidR="005C5503" w:rsidRPr="00E35C9F">
              <w:rPr>
                <w:rStyle w:val="A4"/>
                <w:rFonts w:ascii="Arial" w:hAnsi="Arial" w:cs="Arial"/>
              </w:rPr>
              <w:t xml:space="preserve">average </w:t>
            </w:r>
            <w:r w:rsidR="001B738F" w:rsidRPr="00E35C9F">
              <w:rPr>
                <w:rStyle w:val="A4"/>
                <w:rFonts w:ascii="Arial" w:hAnsi="Arial" w:cs="Arial"/>
              </w:rPr>
              <w:t xml:space="preserve">intervals </w:t>
            </w:r>
            <w:r w:rsidR="005C5503" w:rsidRPr="00E35C9F">
              <w:rPr>
                <w:rStyle w:val="A4"/>
                <w:rFonts w:ascii="Arial" w:hAnsi="Arial" w:cs="Arial"/>
              </w:rPr>
              <w:t>of breath by breath</w:t>
            </w:r>
            <w:r w:rsidR="00536226">
              <w:rPr>
                <w:rStyle w:val="A4"/>
                <w:rFonts w:ascii="Arial" w:hAnsi="Arial" w:cs="Arial"/>
              </w:rPr>
              <w:t xml:space="preserve"> (software default)</w:t>
            </w:r>
            <w:r w:rsidR="005C5503" w:rsidRPr="00E35C9F">
              <w:rPr>
                <w:rStyle w:val="A4"/>
                <w:rFonts w:ascii="Arial" w:hAnsi="Arial" w:cs="Arial"/>
              </w:rPr>
              <w:t>,</w:t>
            </w:r>
            <w:r w:rsidR="001B738F" w:rsidRPr="00E35C9F">
              <w:rPr>
                <w:rStyle w:val="A4"/>
                <w:rFonts w:ascii="Arial" w:hAnsi="Arial" w:cs="Arial"/>
              </w:rPr>
              <w:t xml:space="preserve"> 10</w:t>
            </w:r>
            <w:r w:rsidR="003451EF" w:rsidRPr="00E35C9F">
              <w:rPr>
                <w:rStyle w:val="A4"/>
                <w:rFonts w:ascii="Arial" w:hAnsi="Arial" w:cs="Arial"/>
              </w:rPr>
              <w:t>,</w:t>
            </w:r>
            <w:r w:rsidR="00E02B38" w:rsidRPr="00E35C9F">
              <w:rPr>
                <w:rStyle w:val="A4"/>
                <w:rFonts w:ascii="Arial" w:hAnsi="Arial" w:cs="Arial"/>
              </w:rPr>
              <w:t xml:space="preserve"> 20 </w:t>
            </w:r>
            <w:r w:rsidR="00712194" w:rsidRPr="00E35C9F">
              <w:rPr>
                <w:rStyle w:val="A4"/>
                <w:rFonts w:ascii="Arial" w:hAnsi="Arial" w:cs="Arial"/>
              </w:rPr>
              <w:t xml:space="preserve">seconds and rolling </w:t>
            </w:r>
            <w:r w:rsidR="003451EF" w:rsidRPr="00E35C9F">
              <w:rPr>
                <w:rStyle w:val="A4"/>
                <w:rFonts w:ascii="Arial" w:hAnsi="Arial" w:cs="Arial"/>
              </w:rPr>
              <w:t xml:space="preserve">time </w:t>
            </w:r>
            <w:r w:rsidR="00712194" w:rsidRPr="00E35C9F">
              <w:rPr>
                <w:rStyle w:val="A4"/>
                <w:rFonts w:ascii="Arial" w:hAnsi="Arial" w:cs="Arial"/>
              </w:rPr>
              <w:t>average</w:t>
            </w:r>
            <w:r w:rsidR="00B76B92" w:rsidRPr="00E35C9F">
              <w:rPr>
                <w:rStyle w:val="A4"/>
                <w:rFonts w:ascii="Arial" w:hAnsi="Arial" w:cs="Arial"/>
              </w:rPr>
              <w:t xml:space="preserve"> were used to calculate </w:t>
            </w:r>
            <w:r w:rsidR="005A3482" w:rsidRPr="00E35C9F">
              <w:rPr>
                <w:rStyle w:val="A4"/>
                <w:rFonts w:ascii="Arial" w:hAnsi="Arial" w:cs="Arial"/>
              </w:rPr>
              <w:t>V</w:t>
            </w:r>
            <w:r w:rsidR="005A3482" w:rsidRPr="002D6AA5">
              <w:rPr>
                <w:rStyle w:val="A4"/>
                <w:rFonts w:ascii="Arial" w:hAnsi="Arial" w:cs="Arial"/>
                <w:vertAlign w:val="subscript"/>
              </w:rPr>
              <w:t>D</w:t>
            </w:r>
            <w:r w:rsidR="005A3482" w:rsidRPr="00E35C9F">
              <w:rPr>
                <w:rStyle w:val="A4"/>
                <w:rFonts w:ascii="Arial" w:hAnsi="Arial" w:cs="Arial"/>
              </w:rPr>
              <w:t>/</w:t>
            </w:r>
            <w:r w:rsidR="00045764" w:rsidRPr="00E35C9F">
              <w:rPr>
                <w:rStyle w:val="A4"/>
                <w:rFonts w:ascii="Arial" w:hAnsi="Arial" w:cs="Arial"/>
              </w:rPr>
              <w:t>V</w:t>
            </w:r>
            <w:r w:rsidR="00045764" w:rsidRPr="002D6AA5">
              <w:rPr>
                <w:rStyle w:val="A4"/>
                <w:rFonts w:ascii="Arial" w:hAnsi="Arial" w:cs="Arial"/>
                <w:vertAlign w:val="subscript"/>
              </w:rPr>
              <w:t>T</w:t>
            </w:r>
            <w:r w:rsidR="00B76B92" w:rsidRPr="00E35C9F">
              <w:rPr>
                <w:rStyle w:val="A4"/>
                <w:rFonts w:ascii="Arial" w:hAnsi="Arial" w:cs="Arial"/>
              </w:rPr>
              <w:t xml:space="preserve">. </w:t>
            </w:r>
            <w:r w:rsidR="00045764" w:rsidRPr="00E35C9F">
              <w:rPr>
                <w:rStyle w:val="A4"/>
                <w:rFonts w:ascii="Arial" w:hAnsi="Arial" w:cs="Arial"/>
              </w:rPr>
              <w:t xml:space="preserve"> </w:t>
            </w:r>
            <w:r w:rsidR="00B76B92" w:rsidRPr="00E35C9F">
              <w:rPr>
                <w:rStyle w:val="A4"/>
                <w:rFonts w:ascii="Arial" w:hAnsi="Arial" w:cs="Arial"/>
              </w:rPr>
              <w:t>R</w:t>
            </w:r>
            <w:r w:rsidR="00D619AC" w:rsidRPr="00E35C9F">
              <w:rPr>
                <w:rStyle w:val="A4"/>
                <w:rFonts w:ascii="Arial" w:hAnsi="Arial" w:cs="Arial"/>
              </w:rPr>
              <w:t>esults were</w:t>
            </w:r>
            <w:r w:rsidR="006632AE" w:rsidRPr="00E35C9F">
              <w:rPr>
                <w:rStyle w:val="A4"/>
                <w:rFonts w:ascii="Arial" w:hAnsi="Arial" w:cs="Arial"/>
              </w:rPr>
              <w:t xml:space="preserve"> </w:t>
            </w:r>
            <w:r w:rsidR="001D6FEB" w:rsidRPr="00E35C9F">
              <w:rPr>
                <w:rStyle w:val="A4"/>
                <w:rFonts w:ascii="Arial" w:hAnsi="Arial" w:cs="Arial"/>
              </w:rPr>
              <w:t xml:space="preserve">compared using </w:t>
            </w:r>
            <w:r w:rsidR="00B76B92" w:rsidRPr="00E35C9F">
              <w:rPr>
                <w:rStyle w:val="A4"/>
                <w:rFonts w:ascii="Arial" w:hAnsi="Arial" w:cs="Arial"/>
              </w:rPr>
              <w:t xml:space="preserve">repeated measures </w:t>
            </w:r>
            <w:r w:rsidR="001D6FEB" w:rsidRPr="00E35C9F">
              <w:rPr>
                <w:rStyle w:val="A4"/>
                <w:rFonts w:ascii="Arial" w:hAnsi="Arial" w:cs="Arial"/>
              </w:rPr>
              <w:t>ANOVA</w:t>
            </w:r>
            <w:r w:rsidR="00712194" w:rsidRPr="00E35C9F">
              <w:rPr>
                <w:rStyle w:val="A4"/>
                <w:rFonts w:ascii="Arial" w:hAnsi="Arial" w:cs="Arial"/>
              </w:rPr>
              <w:t>.</w:t>
            </w:r>
            <w:r w:rsidR="00B76B92" w:rsidRPr="00E35C9F">
              <w:rPr>
                <w:rStyle w:val="A4"/>
                <w:rFonts w:ascii="Arial" w:hAnsi="Arial" w:cs="Arial"/>
              </w:rPr>
              <w:t xml:space="preserve"> </w:t>
            </w:r>
            <w:r w:rsidR="007E720B" w:rsidRPr="00E35C9F">
              <w:rPr>
                <w:rStyle w:val="A4"/>
                <w:rFonts w:ascii="Arial" w:hAnsi="Arial" w:cs="Arial"/>
              </w:rPr>
              <w:t>The identification of elevated V</w:t>
            </w:r>
            <w:r w:rsidR="007E720B" w:rsidRPr="002D6AA5">
              <w:rPr>
                <w:rStyle w:val="A4"/>
                <w:rFonts w:ascii="Arial" w:hAnsi="Arial" w:cs="Arial"/>
                <w:vertAlign w:val="subscript"/>
              </w:rPr>
              <w:t>D</w:t>
            </w:r>
            <w:r w:rsidR="007E720B" w:rsidRPr="00E35C9F">
              <w:rPr>
                <w:rStyle w:val="A4"/>
                <w:rFonts w:ascii="Arial" w:hAnsi="Arial" w:cs="Arial"/>
              </w:rPr>
              <w:t>/V</w:t>
            </w:r>
            <w:r w:rsidR="007E720B" w:rsidRPr="002D6AA5">
              <w:rPr>
                <w:rStyle w:val="A4"/>
                <w:rFonts w:ascii="Arial" w:hAnsi="Arial" w:cs="Arial"/>
                <w:vertAlign w:val="subscript"/>
              </w:rPr>
              <w:t>T</w:t>
            </w:r>
            <w:r w:rsidR="007E720B" w:rsidRPr="00E35C9F">
              <w:rPr>
                <w:rStyle w:val="A4"/>
                <w:rFonts w:ascii="Arial" w:hAnsi="Arial" w:cs="Arial"/>
              </w:rPr>
              <w:t xml:space="preserve"> (&gt;0.22) was compared across </w:t>
            </w:r>
            <w:r w:rsidR="00E30010">
              <w:rPr>
                <w:rStyle w:val="A4"/>
                <w:rFonts w:ascii="Arial" w:hAnsi="Arial" w:cs="Arial"/>
              </w:rPr>
              <w:t>data averaging</w:t>
            </w:r>
            <w:r w:rsidR="00E30010" w:rsidRPr="00E35C9F">
              <w:rPr>
                <w:rStyle w:val="A4"/>
                <w:rFonts w:ascii="Arial" w:hAnsi="Arial" w:cs="Arial"/>
              </w:rPr>
              <w:t xml:space="preserve"> </w:t>
            </w:r>
            <w:r w:rsidR="007E720B" w:rsidRPr="00E35C9F">
              <w:rPr>
                <w:rStyle w:val="A4"/>
                <w:rFonts w:ascii="Arial" w:hAnsi="Arial" w:cs="Arial"/>
              </w:rPr>
              <w:t xml:space="preserve">methods. </w:t>
            </w:r>
            <w:r w:rsidR="00B76B92" w:rsidRPr="00E35C9F">
              <w:rPr>
                <w:rStyle w:val="A4"/>
                <w:rFonts w:ascii="Arial" w:hAnsi="Arial" w:cs="Arial"/>
              </w:rPr>
              <w:t>Data is expressed as mean (SD).</w:t>
            </w:r>
          </w:p>
          <w:bookmarkEnd w:id="1"/>
          <w:p w14:paraId="4F0AAFD8" w14:textId="3E2302FF" w:rsidR="00921600" w:rsidRPr="00793CD2" w:rsidRDefault="00575172" w:rsidP="00793CD2">
            <w:pPr>
              <w:spacing w:before="120" w:after="120"/>
              <w:rPr>
                <w:rStyle w:val="A4"/>
                <w:rFonts w:ascii="Arial" w:hAnsi="Arial" w:cs="Arial"/>
                <w:b/>
                <w:bCs/>
              </w:rPr>
            </w:pPr>
            <w:r w:rsidRPr="00793CD2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</w:p>
          <w:p w14:paraId="18D1F713" w14:textId="01BDDD74" w:rsidR="009314EB" w:rsidRPr="00793CD2" w:rsidRDefault="00B76B92" w:rsidP="00793CD2">
            <w:pPr>
              <w:spacing w:before="120" w:after="120"/>
              <w:rPr>
                <w:rStyle w:val="A4"/>
                <w:rFonts w:ascii="Arial" w:hAnsi="Arial" w:cs="Arial"/>
              </w:rPr>
            </w:pPr>
            <w:bookmarkStart w:id="2" w:name="_Hlk148452132"/>
            <w:r w:rsidRPr="00793CD2">
              <w:rPr>
                <w:rStyle w:val="A4"/>
                <w:rFonts w:ascii="Arial" w:hAnsi="Arial" w:cs="Arial"/>
              </w:rPr>
              <w:t xml:space="preserve">Data from </w:t>
            </w:r>
            <w:r w:rsidR="00045764" w:rsidRPr="00793CD2">
              <w:rPr>
                <w:rStyle w:val="A4"/>
                <w:rFonts w:ascii="Arial" w:hAnsi="Arial" w:cs="Arial"/>
              </w:rPr>
              <w:t xml:space="preserve">21 </w:t>
            </w:r>
            <w:r w:rsidR="00045764" w:rsidRPr="00636268">
              <w:rPr>
                <w:rStyle w:val="A4"/>
                <w:rFonts w:ascii="Arial" w:hAnsi="Arial" w:cs="Arial"/>
              </w:rPr>
              <w:t>patients</w:t>
            </w:r>
            <w:r w:rsidR="00E30010">
              <w:rPr>
                <w:rStyle w:val="A4"/>
                <w:rFonts w:ascii="Arial" w:hAnsi="Arial" w:cs="Arial"/>
              </w:rPr>
              <w:t xml:space="preserve"> (</w:t>
            </w:r>
            <w:r w:rsidR="00AC27F7" w:rsidRPr="00AC27F7">
              <w:rPr>
                <w:rStyle w:val="A4"/>
                <w:rFonts w:ascii="Arial" w:hAnsi="Arial" w:cs="Arial"/>
              </w:rPr>
              <w:t>7</w:t>
            </w:r>
            <w:r w:rsidR="00E30010">
              <w:rPr>
                <w:rStyle w:val="A4"/>
                <w:rFonts w:ascii="Arial" w:hAnsi="Arial" w:cs="Arial"/>
              </w:rPr>
              <w:t xml:space="preserve"> male)</w:t>
            </w:r>
            <w:r w:rsidR="002862AC" w:rsidRPr="00636268">
              <w:rPr>
                <w:rStyle w:val="A4"/>
                <w:rFonts w:ascii="Arial" w:hAnsi="Arial" w:cs="Arial"/>
              </w:rPr>
              <w:t>, mean age (</w:t>
            </w:r>
            <w:r w:rsidR="00636268" w:rsidRPr="00636268">
              <w:rPr>
                <w:rStyle w:val="A4"/>
                <w:rFonts w:ascii="Arial" w:hAnsi="Arial" w:cs="Arial"/>
              </w:rPr>
              <w:t>56</w:t>
            </w:r>
            <w:r w:rsidR="00F46820">
              <w:rPr>
                <w:rStyle w:val="A4"/>
                <w:rFonts w:ascii="Arial" w:hAnsi="Arial" w:cs="Arial"/>
              </w:rPr>
              <w:t xml:space="preserve"> </w:t>
            </w:r>
            <w:r w:rsidR="002862AC" w:rsidRPr="00636268">
              <w:rPr>
                <w:rStyle w:val="A4"/>
                <w:rFonts w:ascii="Arial" w:hAnsi="Arial" w:cs="Arial"/>
              </w:rPr>
              <w:t>(</w:t>
            </w:r>
            <w:r w:rsidR="00636268" w:rsidRPr="00636268">
              <w:rPr>
                <w:rStyle w:val="A4"/>
                <w:rFonts w:ascii="Arial" w:hAnsi="Arial" w:cs="Arial"/>
              </w:rPr>
              <w:t>17</w:t>
            </w:r>
            <w:r w:rsidR="002862AC" w:rsidRPr="00636268">
              <w:rPr>
                <w:rStyle w:val="A4"/>
                <w:rFonts w:ascii="Arial" w:hAnsi="Arial" w:cs="Arial"/>
              </w:rPr>
              <w:t>)</w:t>
            </w:r>
            <w:r w:rsidR="00E30010">
              <w:rPr>
                <w:rStyle w:val="A4"/>
                <w:rFonts w:ascii="Arial" w:hAnsi="Arial" w:cs="Arial"/>
              </w:rPr>
              <w:t xml:space="preserve"> years</w:t>
            </w:r>
            <w:r w:rsidR="002862AC" w:rsidRPr="00636268">
              <w:rPr>
                <w:rStyle w:val="A4"/>
                <w:rFonts w:ascii="Arial" w:hAnsi="Arial" w:cs="Arial"/>
              </w:rPr>
              <w:t>)</w:t>
            </w:r>
            <w:r w:rsidRPr="00636268">
              <w:rPr>
                <w:rStyle w:val="A4"/>
                <w:rFonts w:ascii="Arial" w:hAnsi="Arial" w:cs="Arial"/>
              </w:rPr>
              <w:t xml:space="preserve"> were reviewed. </w:t>
            </w:r>
            <w:r w:rsidR="009314EB" w:rsidRPr="00636268">
              <w:rPr>
                <w:rStyle w:val="A4"/>
                <w:rFonts w:ascii="Arial" w:hAnsi="Arial" w:cs="Arial"/>
              </w:rPr>
              <w:t xml:space="preserve">Data averaging did not </w:t>
            </w:r>
            <w:r w:rsidR="00C9556F" w:rsidRPr="00636268">
              <w:rPr>
                <w:rStyle w:val="A4"/>
                <w:rFonts w:ascii="Arial" w:hAnsi="Arial" w:cs="Arial"/>
              </w:rPr>
              <w:t>affect</w:t>
            </w:r>
            <w:r w:rsidR="009314EB" w:rsidRPr="00636268">
              <w:rPr>
                <w:rStyle w:val="A4"/>
                <w:rFonts w:ascii="Arial" w:hAnsi="Arial" w:cs="Arial"/>
              </w:rPr>
              <w:t xml:space="preserve"> calculation of P</w:t>
            </w:r>
            <w:r w:rsidR="009314EB" w:rsidRPr="00636268">
              <w:rPr>
                <w:rStyle w:val="A4"/>
                <w:rFonts w:ascii="Arial" w:hAnsi="Arial" w:cs="Arial"/>
                <w:vertAlign w:val="subscript"/>
              </w:rPr>
              <w:t>E</w:t>
            </w:r>
            <w:r w:rsidR="009314EB" w:rsidRPr="00636268">
              <w:rPr>
                <w:rStyle w:val="A4"/>
                <w:rFonts w:ascii="Arial" w:hAnsi="Arial" w:cs="Arial"/>
              </w:rPr>
              <w:t>CO</w:t>
            </w:r>
            <w:r w:rsidR="009314EB" w:rsidRPr="00636268">
              <w:rPr>
                <w:rStyle w:val="A4"/>
                <w:rFonts w:ascii="Arial" w:hAnsi="Arial" w:cs="Arial"/>
                <w:vertAlign w:val="subscript"/>
              </w:rPr>
              <w:t>2</w:t>
            </w:r>
            <w:r w:rsidR="009314EB" w:rsidRPr="00636268">
              <w:rPr>
                <w:rStyle w:val="A4"/>
                <w:rFonts w:ascii="Arial" w:hAnsi="Arial" w:cs="Arial"/>
              </w:rPr>
              <w:t>, V</w:t>
            </w:r>
            <w:r w:rsidR="009314EB" w:rsidRPr="00636268">
              <w:rPr>
                <w:rStyle w:val="A4"/>
                <w:rFonts w:ascii="Arial" w:hAnsi="Arial" w:cs="Arial"/>
                <w:vertAlign w:val="subscript"/>
              </w:rPr>
              <w:t>E</w:t>
            </w:r>
            <w:r w:rsidR="009314EB" w:rsidRPr="00636268">
              <w:rPr>
                <w:rStyle w:val="A4"/>
                <w:rFonts w:ascii="Arial" w:hAnsi="Arial" w:cs="Arial"/>
              </w:rPr>
              <w:t xml:space="preserve"> or V</w:t>
            </w:r>
            <w:r w:rsidR="009314EB" w:rsidRPr="002D6AA5">
              <w:rPr>
                <w:rStyle w:val="A4"/>
                <w:rFonts w:ascii="Arial" w:hAnsi="Arial" w:cs="Arial"/>
                <w:vertAlign w:val="subscript"/>
              </w:rPr>
              <w:t>D</w:t>
            </w:r>
            <w:r w:rsidR="009314EB" w:rsidRPr="00636268">
              <w:rPr>
                <w:rStyle w:val="A4"/>
                <w:rFonts w:ascii="Arial" w:hAnsi="Arial" w:cs="Arial"/>
              </w:rPr>
              <w:t>/V</w:t>
            </w:r>
            <w:r w:rsidR="009314EB" w:rsidRPr="002D6AA5">
              <w:rPr>
                <w:rStyle w:val="A4"/>
                <w:rFonts w:ascii="Arial" w:hAnsi="Arial" w:cs="Arial"/>
                <w:vertAlign w:val="subscript"/>
              </w:rPr>
              <w:t>T</w:t>
            </w:r>
            <w:r w:rsidR="009314EB" w:rsidRPr="00636268">
              <w:rPr>
                <w:rStyle w:val="A4"/>
                <w:rFonts w:ascii="Arial" w:hAnsi="Arial" w:cs="Arial"/>
              </w:rPr>
              <w:t xml:space="preserve"> at rest or during exercise (Table). </w:t>
            </w:r>
            <w:r w:rsidR="002862AC" w:rsidRPr="00636268">
              <w:rPr>
                <w:rStyle w:val="A4"/>
                <w:rFonts w:ascii="Arial" w:hAnsi="Arial" w:cs="Arial"/>
              </w:rPr>
              <w:t>Only two patients</w:t>
            </w:r>
            <w:r w:rsidR="00C9556F" w:rsidRPr="00636268">
              <w:rPr>
                <w:rStyle w:val="A4"/>
                <w:rFonts w:ascii="Arial" w:hAnsi="Arial" w:cs="Arial"/>
              </w:rPr>
              <w:t xml:space="preserve"> (10%) would </w:t>
            </w:r>
            <w:r w:rsidR="002862AC" w:rsidRPr="00636268">
              <w:rPr>
                <w:rStyle w:val="A4"/>
                <w:rFonts w:ascii="Arial" w:hAnsi="Arial" w:cs="Arial"/>
              </w:rPr>
              <w:t xml:space="preserve">have been </w:t>
            </w:r>
            <w:r w:rsidR="00C9556F" w:rsidRPr="00636268">
              <w:rPr>
                <w:rStyle w:val="A4"/>
                <w:rFonts w:ascii="Arial" w:hAnsi="Arial" w:cs="Arial"/>
              </w:rPr>
              <w:t>reclassified as having elevated V</w:t>
            </w:r>
            <w:r w:rsidR="00C9556F" w:rsidRPr="002D6AA5">
              <w:rPr>
                <w:rStyle w:val="A4"/>
                <w:rFonts w:ascii="Arial" w:hAnsi="Arial" w:cs="Arial"/>
                <w:vertAlign w:val="subscript"/>
              </w:rPr>
              <w:t>D</w:t>
            </w:r>
            <w:r w:rsidR="00C9556F" w:rsidRPr="00636268">
              <w:rPr>
                <w:rStyle w:val="A4"/>
                <w:rFonts w:ascii="Arial" w:hAnsi="Arial" w:cs="Arial"/>
              </w:rPr>
              <w:t>/V</w:t>
            </w:r>
            <w:r w:rsidR="00C9556F" w:rsidRPr="002D6AA5">
              <w:rPr>
                <w:rStyle w:val="A4"/>
                <w:rFonts w:ascii="Arial" w:hAnsi="Arial" w:cs="Arial"/>
                <w:vertAlign w:val="subscript"/>
              </w:rPr>
              <w:t>T</w:t>
            </w:r>
            <w:r w:rsidR="00C9556F" w:rsidRPr="00636268">
              <w:rPr>
                <w:rStyle w:val="A4"/>
                <w:rFonts w:ascii="Arial" w:hAnsi="Arial" w:cs="Arial"/>
              </w:rPr>
              <w:t xml:space="preserve"> during exercise when assessed by 10 sec averaging as compared to breath by</w:t>
            </w:r>
            <w:r w:rsidR="00C9556F" w:rsidRPr="00793CD2">
              <w:rPr>
                <w:rStyle w:val="A4"/>
                <w:rFonts w:ascii="Arial" w:hAnsi="Arial" w:cs="Arial"/>
              </w:rPr>
              <w:t xml:space="preserve"> breath.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6"/>
              <w:gridCol w:w="1490"/>
              <w:gridCol w:w="1465"/>
              <w:gridCol w:w="1464"/>
              <w:gridCol w:w="1465"/>
              <w:gridCol w:w="1024"/>
            </w:tblGrid>
            <w:tr w:rsidR="009314EB" w:rsidRPr="00793CD2" w14:paraId="381F63D7" w14:textId="77777777" w:rsidTr="00636268">
              <w:trPr>
                <w:trHeight w:val="478"/>
                <w:jc w:val="center"/>
              </w:trPr>
              <w:tc>
                <w:tcPr>
                  <w:tcW w:w="1316" w:type="dxa"/>
                </w:tcPr>
                <w:bookmarkEnd w:id="2"/>
                <w:p w14:paraId="25595AC6" w14:textId="62FFA37A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Exercise</w:t>
                  </w:r>
                </w:p>
              </w:tc>
              <w:tc>
                <w:tcPr>
                  <w:tcW w:w="1490" w:type="dxa"/>
                </w:tcPr>
                <w:p w14:paraId="6FFC1A18" w14:textId="3587AA41" w:rsidR="009314EB" w:rsidRPr="00793CD2" w:rsidRDefault="009D4586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B</w:t>
                  </w:r>
                  <w:r w:rsidR="009314EB" w:rsidRPr="00793CD2">
                    <w:rPr>
                      <w:rStyle w:val="A4"/>
                      <w:rFonts w:ascii="Arial" w:hAnsi="Arial" w:cs="Arial"/>
                    </w:rPr>
                    <w:t>reath</w:t>
                  </w:r>
                  <w:r w:rsidR="00C44BAF">
                    <w:rPr>
                      <w:rStyle w:val="A4"/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465" w:type="dxa"/>
                </w:tcPr>
                <w:p w14:paraId="35820574" w14:textId="4598AF43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10 sec</w:t>
                  </w:r>
                </w:p>
              </w:tc>
              <w:tc>
                <w:tcPr>
                  <w:tcW w:w="1464" w:type="dxa"/>
                </w:tcPr>
                <w:p w14:paraId="5817FAFF" w14:textId="110FC363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20 sec</w:t>
                  </w:r>
                </w:p>
              </w:tc>
              <w:tc>
                <w:tcPr>
                  <w:tcW w:w="1465" w:type="dxa"/>
                </w:tcPr>
                <w:p w14:paraId="2B04E9E5" w14:textId="704970AA" w:rsidR="009314EB" w:rsidRPr="00793CD2" w:rsidRDefault="009D4586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R</w:t>
                  </w:r>
                  <w:r w:rsidR="009314EB" w:rsidRPr="00793CD2">
                    <w:rPr>
                      <w:rStyle w:val="A4"/>
                      <w:rFonts w:ascii="Arial" w:hAnsi="Arial" w:cs="Arial"/>
                    </w:rPr>
                    <w:t>olling</w:t>
                  </w:r>
                </w:p>
              </w:tc>
              <w:tc>
                <w:tcPr>
                  <w:tcW w:w="1024" w:type="dxa"/>
                </w:tcPr>
                <w:p w14:paraId="768DC730" w14:textId="234C93F4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P value</w:t>
                  </w:r>
                </w:p>
              </w:tc>
            </w:tr>
            <w:tr w:rsidR="009314EB" w:rsidRPr="00793CD2" w14:paraId="34B76D50" w14:textId="77777777" w:rsidTr="00636268">
              <w:trPr>
                <w:trHeight w:val="466"/>
                <w:jc w:val="center"/>
              </w:trPr>
              <w:tc>
                <w:tcPr>
                  <w:tcW w:w="1316" w:type="dxa"/>
                </w:tcPr>
                <w:p w14:paraId="2745FC0F" w14:textId="21AE6FB6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P</w:t>
                  </w:r>
                  <w:r w:rsidRPr="00793CD2">
                    <w:rPr>
                      <w:rStyle w:val="A4"/>
                      <w:rFonts w:ascii="Arial" w:hAnsi="Arial" w:cs="Arial"/>
                      <w:vertAlign w:val="subscript"/>
                    </w:rPr>
                    <w:t>E</w:t>
                  </w:r>
                  <w:r w:rsidRPr="00793CD2">
                    <w:rPr>
                      <w:rStyle w:val="A4"/>
                      <w:rFonts w:ascii="Arial" w:hAnsi="Arial" w:cs="Arial"/>
                    </w:rPr>
                    <w:t>CO</w:t>
                  </w:r>
                  <w:r w:rsidRPr="00793CD2">
                    <w:rPr>
                      <w:rStyle w:val="A4"/>
                      <w:rFonts w:ascii="Arial" w:hAnsi="Arial" w:cs="Arial"/>
                      <w:vertAlign w:val="subscript"/>
                    </w:rPr>
                    <w:t>2</w:t>
                  </w:r>
                </w:p>
              </w:tc>
              <w:tc>
                <w:tcPr>
                  <w:tcW w:w="1490" w:type="dxa"/>
                </w:tcPr>
                <w:p w14:paraId="42E393D5" w14:textId="7399D52A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24.8 (3.9)</w:t>
                  </w:r>
                </w:p>
              </w:tc>
              <w:tc>
                <w:tcPr>
                  <w:tcW w:w="1465" w:type="dxa"/>
                </w:tcPr>
                <w:p w14:paraId="2FAB17B0" w14:textId="0AA09817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24.5 (4.0)</w:t>
                  </w:r>
                </w:p>
              </w:tc>
              <w:tc>
                <w:tcPr>
                  <w:tcW w:w="1464" w:type="dxa"/>
                </w:tcPr>
                <w:p w14:paraId="51B89573" w14:textId="470773DF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24.8 (4.0)</w:t>
                  </w:r>
                </w:p>
              </w:tc>
              <w:tc>
                <w:tcPr>
                  <w:tcW w:w="1465" w:type="dxa"/>
                </w:tcPr>
                <w:p w14:paraId="314A46CD" w14:textId="6A3C596E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24.7 (4.1)</w:t>
                  </w:r>
                </w:p>
              </w:tc>
              <w:tc>
                <w:tcPr>
                  <w:tcW w:w="1024" w:type="dxa"/>
                </w:tcPr>
                <w:p w14:paraId="098B0124" w14:textId="7F9F9ECF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0.31</w:t>
                  </w:r>
                </w:p>
              </w:tc>
            </w:tr>
            <w:tr w:rsidR="009314EB" w:rsidRPr="00793CD2" w14:paraId="15282DE3" w14:textId="77777777" w:rsidTr="00636268">
              <w:trPr>
                <w:trHeight w:val="478"/>
                <w:jc w:val="center"/>
              </w:trPr>
              <w:tc>
                <w:tcPr>
                  <w:tcW w:w="1316" w:type="dxa"/>
                </w:tcPr>
                <w:p w14:paraId="7BE9687B" w14:textId="7FFA04A3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V</w:t>
                  </w:r>
                  <w:r w:rsidRPr="00793CD2">
                    <w:rPr>
                      <w:rStyle w:val="A4"/>
                      <w:rFonts w:ascii="Arial" w:hAnsi="Arial" w:cs="Arial"/>
                      <w:vertAlign w:val="subscript"/>
                    </w:rPr>
                    <w:t>E</w:t>
                  </w:r>
                </w:p>
              </w:tc>
              <w:tc>
                <w:tcPr>
                  <w:tcW w:w="1490" w:type="dxa"/>
                </w:tcPr>
                <w:p w14:paraId="445A2F65" w14:textId="0F41C666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54.8 (19.0)</w:t>
                  </w:r>
                </w:p>
              </w:tc>
              <w:tc>
                <w:tcPr>
                  <w:tcW w:w="1465" w:type="dxa"/>
                </w:tcPr>
                <w:p w14:paraId="52D90125" w14:textId="2CD1F4A1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56.1 (18.0)</w:t>
                  </w:r>
                </w:p>
              </w:tc>
              <w:tc>
                <w:tcPr>
                  <w:tcW w:w="1464" w:type="dxa"/>
                </w:tcPr>
                <w:p w14:paraId="6A0DBEE8" w14:textId="04DD3249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56.6 (17.1)</w:t>
                  </w:r>
                </w:p>
              </w:tc>
              <w:tc>
                <w:tcPr>
                  <w:tcW w:w="1465" w:type="dxa"/>
                </w:tcPr>
                <w:p w14:paraId="2C61BBA6" w14:textId="3BB38832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56.3 (15.3)</w:t>
                  </w:r>
                </w:p>
              </w:tc>
              <w:tc>
                <w:tcPr>
                  <w:tcW w:w="1024" w:type="dxa"/>
                </w:tcPr>
                <w:p w14:paraId="3C68A253" w14:textId="4F71BCF6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0.62</w:t>
                  </w:r>
                </w:p>
              </w:tc>
            </w:tr>
            <w:tr w:rsidR="009314EB" w:rsidRPr="00793CD2" w14:paraId="5A6BAD17" w14:textId="77777777" w:rsidTr="00636268">
              <w:trPr>
                <w:trHeight w:val="466"/>
                <w:jc w:val="center"/>
              </w:trPr>
              <w:tc>
                <w:tcPr>
                  <w:tcW w:w="1316" w:type="dxa"/>
                </w:tcPr>
                <w:p w14:paraId="417507E0" w14:textId="4A8CE801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VD/VT</w:t>
                  </w:r>
                </w:p>
              </w:tc>
              <w:tc>
                <w:tcPr>
                  <w:tcW w:w="1490" w:type="dxa"/>
                </w:tcPr>
                <w:p w14:paraId="41BBEEDF" w14:textId="0AB32893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0.22 (0.10)</w:t>
                  </w:r>
                </w:p>
              </w:tc>
              <w:tc>
                <w:tcPr>
                  <w:tcW w:w="1465" w:type="dxa"/>
                </w:tcPr>
                <w:p w14:paraId="61C7BA53" w14:textId="4D8D667E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0.23 (0.10)</w:t>
                  </w:r>
                </w:p>
              </w:tc>
              <w:tc>
                <w:tcPr>
                  <w:tcW w:w="1464" w:type="dxa"/>
                </w:tcPr>
                <w:p w14:paraId="4643EFC6" w14:textId="1BAE5D5D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0.23 (0.10)</w:t>
                  </w:r>
                </w:p>
              </w:tc>
              <w:tc>
                <w:tcPr>
                  <w:tcW w:w="1465" w:type="dxa"/>
                </w:tcPr>
                <w:p w14:paraId="37524ECE" w14:textId="6A6694AD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0.23 (1.0)</w:t>
                  </w:r>
                </w:p>
              </w:tc>
              <w:tc>
                <w:tcPr>
                  <w:tcW w:w="1024" w:type="dxa"/>
                </w:tcPr>
                <w:p w14:paraId="6BA60070" w14:textId="44775D45" w:rsidR="009314EB" w:rsidRPr="00793CD2" w:rsidRDefault="009314EB" w:rsidP="00793CD2">
                  <w:pPr>
                    <w:spacing w:before="120" w:after="120"/>
                    <w:rPr>
                      <w:rStyle w:val="A4"/>
                      <w:rFonts w:ascii="Arial" w:hAnsi="Arial" w:cs="Arial"/>
                    </w:rPr>
                  </w:pPr>
                  <w:r w:rsidRPr="00793CD2">
                    <w:rPr>
                      <w:rStyle w:val="A4"/>
                      <w:rFonts w:ascii="Arial" w:hAnsi="Arial" w:cs="Arial"/>
                    </w:rPr>
                    <w:t>0.30</w:t>
                  </w:r>
                </w:p>
              </w:tc>
            </w:tr>
          </w:tbl>
          <w:p w14:paraId="2C9D523D" w14:textId="699B6EA2" w:rsidR="00575172" w:rsidRPr="00793CD2" w:rsidRDefault="00575172" w:rsidP="00793CD2">
            <w:pPr>
              <w:spacing w:before="120" w:after="120"/>
              <w:rPr>
                <w:rStyle w:val="A4"/>
                <w:rFonts w:ascii="Arial" w:hAnsi="Arial" w:cs="Arial"/>
                <w:b/>
                <w:bCs/>
              </w:rPr>
            </w:pPr>
            <w:r w:rsidRPr="00793CD2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</w:p>
          <w:p w14:paraId="777248EA" w14:textId="54E49E5E" w:rsidR="00636268" w:rsidRPr="00793CD2" w:rsidRDefault="00C9556F" w:rsidP="00793CD2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bookmarkStart w:id="3" w:name="_Hlk148452145"/>
            <w:r w:rsidRPr="00793CD2">
              <w:rPr>
                <w:rFonts w:ascii="Arial" w:eastAsia="Arial" w:hAnsi="Arial" w:cs="Arial"/>
                <w:color w:val="000000" w:themeColor="text1"/>
              </w:rPr>
              <w:t xml:space="preserve">Variations in data </w:t>
            </w:r>
            <w:r w:rsidR="007E720B" w:rsidRPr="00793CD2">
              <w:rPr>
                <w:rFonts w:ascii="Arial" w:eastAsia="Arial" w:hAnsi="Arial" w:cs="Arial"/>
                <w:color w:val="000000" w:themeColor="text1"/>
              </w:rPr>
              <w:t>averaging</w:t>
            </w:r>
            <w:r w:rsidRPr="00793CD2">
              <w:rPr>
                <w:rFonts w:ascii="Arial" w:eastAsia="Arial" w:hAnsi="Arial" w:cs="Arial"/>
                <w:color w:val="000000" w:themeColor="text1"/>
              </w:rPr>
              <w:t xml:space="preserve"> of exhaled end tidal measures both at rest and during exercise did not affect the calculation of dead space ventilation. </w:t>
            </w:r>
            <w:r w:rsidR="007E720B" w:rsidRPr="00793CD2">
              <w:rPr>
                <w:rFonts w:ascii="Arial" w:eastAsia="Arial" w:hAnsi="Arial" w:cs="Arial"/>
                <w:color w:val="000000" w:themeColor="text1"/>
              </w:rPr>
              <w:t xml:space="preserve">While there were </w:t>
            </w:r>
            <w:r w:rsidR="007E720B" w:rsidRPr="00E30010">
              <w:rPr>
                <w:rFonts w:ascii="Arial" w:eastAsia="Arial" w:hAnsi="Arial" w:cs="Arial"/>
                <w:color w:val="000000" w:themeColor="text1"/>
              </w:rPr>
              <w:t xml:space="preserve">some </w:t>
            </w:r>
            <w:r w:rsidR="00A62D16" w:rsidRPr="00E30010">
              <w:rPr>
                <w:rFonts w:ascii="Arial" w:eastAsia="Arial" w:hAnsi="Arial" w:cs="Arial"/>
                <w:color w:val="000000" w:themeColor="text1"/>
              </w:rPr>
              <w:t>instances</w:t>
            </w:r>
            <w:r w:rsidR="007E720B" w:rsidRPr="00E3001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62D16" w:rsidRPr="00E30010">
              <w:rPr>
                <w:rFonts w:ascii="Arial" w:eastAsia="Arial" w:hAnsi="Arial" w:cs="Arial"/>
                <w:color w:val="000000" w:themeColor="text1"/>
              </w:rPr>
              <w:t xml:space="preserve">where the </w:t>
            </w:r>
            <w:r w:rsidR="007E720B" w:rsidRPr="00E30010">
              <w:rPr>
                <w:rFonts w:ascii="Arial" w:eastAsia="Arial" w:hAnsi="Arial" w:cs="Arial"/>
                <w:color w:val="000000" w:themeColor="text1"/>
              </w:rPr>
              <w:t xml:space="preserve">identification of </w:t>
            </w:r>
            <w:r w:rsidR="00A62D16" w:rsidRPr="00E30010">
              <w:rPr>
                <w:rFonts w:ascii="Arial" w:eastAsia="Arial" w:hAnsi="Arial" w:cs="Arial"/>
                <w:color w:val="000000" w:themeColor="text1"/>
              </w:rPr>
              <w:t xml:space="preserve">borderline </w:t>
            </w:r>
            <w:r w:rsidR="007E720B" w:rsidRPr="00E30010">
              <w:rPr>
                <w:rFonts w:ascii="Arial" w:eastAsia="Arial" w:hAnsi="Arial" w:cs="Arial"/>
                <w:color w:val="000000" w:themeColor="text1"/>
              </w:rPr>
              <w:t>elevated dead space</w:t>
            </w:r>
            <w:r w:rsidR="00A62D16" w:rsidRPr="00E30010">
              <w:rPr>
                <w:rFonts w:ascii="Arial" w:eastAsia="Arial" w:hAnsi="Arial" w:cs="Arial"/>
                <w:color w:val="000000" w:themeColor="text1"/>
              </w:rPr>
              <w:t xml:space="preserve"> changed</w:t>
            </w:r>
            <w:r w:rsidR="007E720B" w:rsidRPr="00E3001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E30010" w:rsidRPr="00E30010">
              <w:rPr>
                <w:rFonts w:ascii="Arial" w:eastAsia="Arial" w:hAnsi="Arial" w:cs="Arial"/>
                <w:color w:val="000000" w:themeColor="text1"/>
              </w:rPr>
              <w:t xml:space="preserve">variations in </w:t>
            </w:r>
            <w:r w:rsidR="009D4586" w:rsidRPr="00E30010">
              <w:rPr>
                <w:rFonts w:ascii="Arial" w:eastAsia="Arial" w:hAnsi="Arial" w:cs="Arial"/>
                <w:color w:val="000000" w:themeColor="text1"/>
              </w:rPr>
              <w:t>end tidal averaging</w:t>
            </w:r>
            <w:r w:rsidR="00962BC3" w:rsidRPr="00793CD2">
              <w:rPr>
                <w:rFonts w:ascii="Arial" w:eastAsia="Arial" w:hAnsi="Arial" w:cs="Arial"/>
                <w:color w:val="000000" w:themeColor="text1"/>
              </w:rPr>
              <w:t xml:space="preserve"> methods did not </w:t>
            </w:r>
            <w:r w:rsidR="009D4586" w:rsidRPr="00793CD2">
              <w:rPr>
                <w:rFonts w:ascii="Arial" w:eastAsia="Arial" w:hAnsi="Arial" w:cs="Arial"/>
                <w:color w:val="000000" w:themeColor="text1"/>
              </w:rPr>
              <w:t xml:space="preserve">affect </w:t>
            </w:r>
            <w:r w:rsidR="007E720B" w:rsidRPr="00793CD2">
              <w:rPr>
                <w:rFonts w:ascii="Arial" w:eastAsia="Arial" w:hAnsi="Arial" w:cs="Arial"/>
                <w:color w:val="000000" w:themeColor="text1"/>
              </w:rPr>
              <w:t>clinical interp</w:t>
            </w:r>
            <w:r w:rsidR="00962BC3" w:rsidRPr="00793CD2">
              <w:rPr>
                <w:rFonts w:ascii="Arial" w:eastAsia="Arial" w:hAnsi="Arial" w:cs="Arial"/>
                <w:color w:val="000000" w:themeColor="text1"/>
              </w:rPr>
              <w:t>re</w:t>
            </w:r>
            <w:r w:rsidR="007E720B" w:rsidRPr="00793CD2">
              <w:rPr>
                <w:rFonts w:ascii="Arial" w:eastAsia="Arial" w:hAnsi="Arial" w:cs="Arial"/>
                <w:color w:val="000000" w:themeColor="text1"/>
              </w:rPr>
              <w:t>t</w:t>
            </w:r>
            <w:r w:rsidR="00962BC3" w:rsidRPr="00793CD2">
              <w:rPr>
                <w:rFonts w:ascii="Arial" w:eastAsia="Arial" w:hAnsi="Arial" w:cs="Arial"/>
                <w:color w:val="000000" w:themeColor="text1"/>
              </w:rPr>
              <w:t>at</w:t>
            </w:r>
            <w:r w:rsidR="007E720B" w:rsidRPr="00793CD2">
              <w:rPr>
                <w:rFonts w:ascii="Arial" w:eastAsia="Arial" w:hAnsi="Arial" w:cs="Arial"/>
                <w:color w:val="000000" w:themeColor="text1"/>
              </w:rPr>
              <w:t>ion</w:t>
            </w:r>
            <w:r w:rsidR="00962BC3" w:rsidRPr="00793CD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bookmarkEnd w:id="3"/>
          <w:p w14:paraId="6D81E1C9" w14:textId="720887E0" w:rsidR="00636268" w:rsidRDefault="00575172" w:rsidP="00636268">
            <w:pPr>
              <w:pStyle w:val="Pa12"/>
              <w:spacing w:line="240" w:lineRule="auto"/>
              <w:rPr>
                <w:rStyle w:val="A4"/>
              </w:rPr>
            </w:pPr>
            <w:r w:rsidRPr="00793CD2">
              <w:rPr>
                <w:rStyle w:val="A4"/>
                <w:b/>
                <w:bCs/>
              </w:rPr>
              <w:t>Key Words:</w:t>
            </w:r>
            <w:r w:rsidRPr="00793CD2">
              <w:rPr>
                <w:rStyle w:val="A4"/>
              </w:rPr>
              <w:t xml:space="preserve"> </w:t>
            </w:r>
            <w:proofErr w:type="spellStart"/>
            <w:r w:rsidR="0026252A" w:rsidRPr="00793CD2">
              <w:rPr>
                <w:rStyle w:val="A4"/>
              </w:rPr>
              <w:t>deadspace</w:t>
            </w:r>
            <w:proofErr w:type="spellEnd"/>
            <w:r w:rsidR="0026252A" w:rsidRPr="00793CD2">
              <w:rPr>
                <w:rStyle w:val="A4"/>
              </w:rPr>
              <w:t>, CPET,</w:t>
            </w:r>
            <w:r w:rsidR="00607A3C" w:rsidRPr="00793CD2">
              <w:rPr>
                <w:rStyle w:val="A4"/>
              </w:rPr>
              <w:t xml:space="preserve"> </w:t>
            </w:r>
            <w:r w:rsidR="00E30010">
              <w:rPr>
                <w:rStyle w:val="A4"/>
              </w:rPr>
              <w:t xml:space="preserve">data averaging, end tidal gas </w:t>
            </w:r>
            <w:proofErr w:type="gramStart"/>
            <w:r w:rsidR="00E30010">
              <w:rPr>
                <w:rStyle w:val="A4"/>
              </w:rPr>
              <w:t>analysis</w:t>
            </w:r>
            <w:proofErr w:type="gramEnd"/>
          </w:p>
          <w:p w14:paraId="56A66CD6" w14:textId="77777777" w:rsidR="00636268" w:rsidRDefault="00636268" w:rsidP="0063626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7DDD9046" w14:textId="391ADD3E" w:rsidR="00636268" w:rsidRPr="00636268" w:rsidRDefault="00636268" w:rsidP="00636268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G</w:t>
            </w:r>
            <w:r w:rsidR="00575172" w:rsidRPr="00793CD2">
              <w:rPr>
                <w:rStyle w:val="A4"/>
                <w:b/>
                <w:bCs/>
              </w:rPr>
              <w:t>rant Support:</w:t>
            </w:r>
          </w:p>
        </w:tc>
      </w:tr>
    </w:tbl>
    <w:p w14:paraId="2D56E62B" w14:textId="70C536E6" w:rsidR="007E72A2" w:rsidRPr="007E720B" w:rsidRDefault="007E72A2">
      <w:pPr>
        <w:rPr>
          <w:rFonts w:ascii="Arial" w:hAnsi="Arial" w:cs="Arial"/>
        </w:rPr>
      </w:pPr>
    </w:p>
    <w:sectPr w:rsidR="007E72A2" w:rsidRPr="007E7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FA28" w14:textId="77777777" w:rsidR="00670615" w:rsidRDefault="00670615" w:rsidP="00636268">
      <w:pPr>
        <w:spacing w:after="0" w:line="240" w:lineRule="auto"/>
      </w:pPr>
      <w:r>
        <w:separator/>
      </w:r>
    </w:p>
  </w:endnote>
  <w:endnote w:type="continuationSeparator" w:id="0">
    <w:p w14:paraId="2736486D" w14:textId="77777777" w:rsidR="00670615" w:rsidRDefault="00670615" w:rsidP="0063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47F5" w14:textId="77777777" w:rsidR="00670615" w:rsidRDefault="00670615" w:rsidP="00636268">
      <w:pPr>
        <w:spacing w:after="0" w:line="240" w:lineRule="auto"/>
      </w:pPr>
      <w:r>
        <w:separator/>
      </w:r>
    </w:p>
  </w:footnote>
  <w:footnote w:type="continuationSeparator" w:id="0">
    <w:p w14:paraId="33D9D555" w14:textId="77777777" w:rsidR="00670615" w:rsidRDefault="00670615" w:rsidP="00636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72"/>
    <w:rsid w:val="00020781"/>
    <w:rsid w:val="000336A6"/>
    <w:rsid w:val="00045764"/>
    <w:rsid w:val="00073CDF"/>
    <w:rsid w:val="00090314"/>
    <w:rsid w:val="00094A0F"/>
    <w:rsid w:val="000B3ABB"/>
    <w:rsid w:val="000D084E"/>
    <w:rsid w:val="00195F54"/>
    <w:rsid w:val="001B738F"/>
    <w:rsid w:val="001D6FEB"/>
    <w:rsid w:val="002366FE"/>
    <w:rsid w:val="0026252A"/>
    <w:rsid w:val="00280A9C"/>
    <w:rsid w:val="002862AC"/>
    <w:rsid w:val="002D6AA5"/>
    <w:rsid w:val="003451EF"/>
    <w:rsid w:val="00357585"/>
    <w:rsid w:val="00370644"/>
    <w:rsid w:val="00374BCF"/>
    <w:rsid w:val="003770BB"/>
    <w:rsid w:val="003A527B"/>
    <w:rsid w:val="003B5187"/>
    <w:rsid w:val="00412646"/>
    <w:rsid w:val="00433712"/>
    <w:rsid w:val="00496844"/>
    <w:rsid w:val="004D2522"/>
    <w:rsid w:val="00533966"/>
    <w:rsid w:val="00536226"/>
    <w:rsid w:val="00573E51"/>
    <w:rsid w:val="00575172"/>
    <w:rsid w:val="005A3482"/>
    <w:rsid w:val="005C5503"/>
    <w:rsid w:val="005C7723"/>
    <w:rsid w:val="005D7DA0"/>
    <w:rsid w:val="005F38DF"/>
    <w:rsid w:val="00607A3C"/>
    <w:rsid w:val="00624DE4"/>
    <w:rsid w:val="00630C89"/>
    <w:rsid w:val="00636268"/>
    <w:rsid w:val="00636E5E"/>
    <w:rsid w:val="006632AE"/>
    <w:rsid w:val="00670615"/>
    <w:rsid w:val="00683D26"/>
    <w:rsid w:val="00712194"/>
    <w:rsid w:val="00752021"/>
    <w:rsid w:val="00793CD2"/>
    <w:rsid w:val="007C5AF3"/>
    <w:rsid w:val="007E720B"/>
    <w:rsid w:val="007E72A2"/>
    <w:rsid w:val="00813A5C"/>
    <w:rsid w:val="00813B16"/>
    <w:rsid w:val="00861D80"/>
    <w:rsid w:val="008D5B81"/>
    <w:rsid w:val="008F78EF"/>
    <w:rsid w:val="00921600"/>
    <w:rsid w:val="009314EB"/>
    <w:rsid w:val="00962BC3"/>
    <w:rsid w:val="00971A5F"/>
    <w:rsid w:val="009D4586"/>
    <w:rsid w:val="00A54EAB"/>
    <w:rsid w:val="00A62D16"/>
    <w:rsid w:val="00A72A1B"/>
    <w:rsid w:val="00AA7CA8"/>
    <w:rsid w:val="00AC27F7"/>
    <w:rsid w:val="00B017FC"/>
    <w:rsid w:val="00B76B92"/>
    <w:rsid w:val="00B852E3"/>
    <w:rsid w:val="00BA0173"/>
    <w:rsid w:val="00BE252D"/>
    <w:rsid w:val="00BE7AB5"/>
    <w:rsid w:val="00C44BAF"/>
    <w:rsid w:val="00C9007B"/>
    <w:rsid w:val="00C9556F"/>
    <w:rsid w:val="00CC1016"/>
    <w:rsid w:val="00CC5C99"/>
    <w:rsid w:val="00CC6A5B"/>
    <w:rsid w:val="00CF361A"/>
    <w:rsid w:val="00D26BCF"/>
    <w:rsid w:val="00D26E0F"/>
    <w:rsid w:val="00D619AC"/>
    <w:rsid w:val="00D61A6F"/>
    <w:rsid w:val="00DB4DB0"/>
    <w:rsid w:val="00E02B38"/>
    <w:rsid w:val="00E30010"/>
    <w:rsid w:val="00E35C9F"/>
    <w:rsid w:val="00E54013"/>
    <w:rsid w:val="00E746BB"/>
    <w:rsid w:val="00E94863"/>
    <w:rsid w:val="00EB1089"/>
    <w:rsid w:val="00EF5FF0"/>
    <w:rsid w:val="00F36174"/>
    <w:rsid w:val="00F46820"/>
    <w:rsid w:val="00F50E18"/>
    <w:rsid w:val="00F85087"/>
    <w:rsid w:val="00F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0144"/>
  <w15:docId w15:val="{34956174-A8D4-4668-BDCC-0DE946B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7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NZ" w:eastAsia="en-NZ"/>
      <w14:ligatures w14:val="none"/>
    </w:rPr>
  </w:style>
  <w:style w:type="character" w:customStyle="1" w:styleId="A4">
    <w:name w:val="A4"/>
    <w:uiPriority w:val="99"/>
    <w:rsid w:val="00575172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575172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3B518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6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6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6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2F8A-AC13-4EC5-B046-C7F74FED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SLHD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Alberto (Sydney LHD)</dc:creator>
  <cp:keywords/>
  <dc:description/>
  <cp:lastModifiedBy>Neil Alberto (Sydney LHD)</cp:lastModifiedBy>
  <cp:revision>3</cp:revision>
  <dcterms:created xsi:type="dcterms:W3CDTF">2023-10-17T23:34:00Z</dcterms:created>
  <dcterms:modified xsi:type="dcterms:W3CDTF">2023-10-17T23:45:00Z</dcterms:modified>
</cp:coreProperties>
</file>