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EE27" w14:textId="77777777" w:rsidR="006371EF" w:rsidRDefault="006371EF" w:rsidP="003F21AB">
      <w:pPr>
        <w:pStyle w:val="Heading1"/>
        <w:rPr>
          <w:rFonts w:ascii="Arial" w:hAnsi="Arial" w:cs="Arial"/>
          <w:b/>
          <w:bCs/>
          <w:color w:val="auto"/>
          <w:sz w:val="22"/>
          <w:szCs w:val="22"/>
        </w:rPr>
      </w:pPr>
      <w:r w:rsidRPr="009F333F">
        <w:rPr>
          <w:rFonts w:ascii="Arial" w:hAnsi="Arial" w:cs="Arial"/>
          <w:b/>
          <w:bCs/>
          <w:color w:val="auto"/>
          <w:sz w:val="22"/>
          <w:szCs w:val="22"/>
        </w:rPr>
        <w:t xml:space="preserve">Unveiling a Novel MT-TSI m.7479G&gt;A Variant in Mitochondrial Diabetes: The Critical Role of </w:t>
      </w:r>
      <w:proofErr w:type="spellStart"/>
      <w:r w:rsidRPr="009F333F">
        <w:rPr>
          <w:rFonts w:ascii="Arial" w:hAnsi="Arial" w:cs="Arial"/>
          <w:b/>
          <w:bCs/>
          <w:color w:val="auto"/>
          <w:sz w:val="22"/>
          <w:szCs w:val="22"/>
        </w:rPr>
        <w:t>mtDNA</w:t>
      </w:r>
      <w:proofErr w:type="spellEnd"/>
      <w:r w:rsidRPr="009F333F">
        <w:rPr>
          <w:rFonts w:ascii="Arial" w:hAnsi="Arial" w:cs="Arial"/>
          <w:b/>
          <w:bCs/>
          <w:color w:val="auto"/>
          <w:sz w:val="22"/>
          <w:szCs w:val="22"/>
        </w:rPr>
        <w:t xml:space="preserve"> Sequencing in Atypical Presentations</w:t>
      </w:r>
    </w:p>
    <w:p w14:paraId="3ED3AB35" w14:textId="77777777" w:rsidR="009F333F" w:rsidRPr="009F333F" w:rsidRDefault="009F333F" w:rsidP="009F333F"/>
    <w:p w14:paraId="6B8C7973" w14:textId="77777777" w:rsidR="00DB7658" w:rsidRPr="009F333F" w:rsidRDefault="00DB7658" w:rsidP="0006497C">
      <w:pPr>
        <w:jc w:val="both"/>
        <w:rPr>
          <w:rFonts w:ascii="Arial" w:hAnsi="Arial" w:cs="Arial"/>
          <w:b/>
          <w:bCs/>
        </w:rPr>
      </w:pPr>
      <w:r w:rsidRPr="009F333F">
        <w:rPr>
          <w:rFonts w:ascii="Arial" w:hAnsi="Arial" w:cs="Arial"/>
          <w:b/>
          <w:bCs/>
        </w:rPr>
        <w:t xml:space="preserve">Aim: </w:t>
      </w:r>
      <w:r w:rsidRPr="009F333F">
        <w:rPr>
          <w:rFonts w:ascii="Arial" w:hAnsi="Arial" w:cs="Arial"/>
        </w:rPr>
        <w:t>To describe a case of mitochondrial diabetes associated with a previously undescribed MT-TSI m.7479G&gt;A variant, highlighting its clinical presentation, diagnostic challenges, and management implications.</w:t>
      </w:r>
    </w:p>
    <w:p w14:paraId="071C175C" w14:textId="22060644" w:rsidR="00DB7658" w:rsidRPr="009F333F" w:rsidRDefault="00DB7658" w:rsidP="0006497C">
      <w:pPr>
        <w:jc w:val="both"/>
        <w:rPr>
          <w:rFonts w:ascii="Arial" w:hAnsi="Arial" w:cs="Arial"/>
        </w:rPr>
      </w:pPr>
      <w:r w:rsidRPr="009F333F">
        <w:rPr>
          <w:rFonts w:ascii="Arial" w:hAnsi="Arial" w:cs="Arial"/>
          <w:b/>
          <w:bCs/>
        </w:rPr>
        <w:t xml:space="preserve">Methods: </w:t>
      </w:r>
      <w:r w:rsidRPr="009F333F">
        <w:rPr>
          <w:rFonts w:ascii="Arial" w:hAnsi="Arial" w:cs="Arial"/>
        </w:rPr>
        <w:t>A 71-year-old Caucasian female diagnosed with diabetes at age 50 underwent comprehensive clinical evaluation, including detailed family history, laboratory assessments (HbA1c, GAD/IA2 antibodies, C-peptide), and next-generation sequencing of mitochondrial DNA (</w:t>
      </w:r>
      <w:proofErr w:type="spellStart"/>
      <w:r w:rsidRPr="009F333F">
        <w:rPr>
          <w:rFonts w:ascii="Arial" w:hAnsi="Arial" w:cs="Arial"/>
        </w:rPr>
        <w:t>mtDNA</w:t>
      </w:r>
      <w:proofErr w:type="spellEnd"/>
      <w:r w:rsidRPr="009F333F">
        <w:rPr>
          <w:rFonts w:ascii="Arial" w:hAnsi="Arial" w:cs="Arial"/>
        </w:rPr>
        <w:t xml:space="preserve">). Treatment outcomes and follow-up data over 21 years were </w:t>
      </w:r>
      <w:r w:rsidR="00DF5E0F" w:rsidRPr="009F333F">
        <w:rPr>
          <w:rFonts w:ascii="Arial" w:hAnsi="Arial" w:cs="Arial"/>
        </w:rPr>
        <w:t>analysed</w:t>
      </w:r>
      <w:r w:rsidRPr="009F333F">
        <w:rPr>
          <w:rFonts w:ascii="Arial" w:hAnsi="Arial" w:cs="Arial"/>
        </w:rPr>
        <w:t xml:space="preserve"> to assess </w:t>
      </w:r>
      <w:r w:rsidR="00DF5E0F" w:rsidRPr="009F333F">
        <w:rPr>
          <w:rFonts w:ascii="Arial" w:hAnsi="Arial" w:cs="Arial"/>
        </w:rPr>
        <w:t>glycaemic</w:t>
      </w:r>
      <w:r w:rsidRPr="009F333F">
        <w:rPr>
          <w:rFonts w:ascii="Arial" w:hAnsi="Arial" w:cs="Arial"/>
        </w:rPr>
        <w:t xml:space="preserve"> control and complications. Genetic </w:t>
      </w:r>
      <w:r w:rsidR="00DF5E0F" w:rsidRPr="009F333F">
        <w:rPr>
          <w:rFonts w:ascii="Arial" w:hAnsi="Arial" w:cs="Arial"/>
        </w:rPr>
        <w:t>counselling</w:t>
      </w:r>
      <w:r w:rsidRPr="009F333F">
        <w:rPr>
          <w:rFonts w:ascii="Arial" w:hAnsi="Arial" w:cs="Arial"/>
        </w:rPr>
        <w:t xml:space="preserve"> was offered to address maternal inheritance.</w:t>
      </w:r>
    </w:p>
    <w:p w14:paraId="5BB8CB29" w14:textId="7F8AA9DB" w:rsidR="00DB7658" w:rsidRPr="009F333F" w:rsidRDefault="00DB7658" w:rsidP="0006497C">
      <w:pPr>
        <w:jc w:val="both"/>
        <w:rPr>
          <w:rFonts w:ascii="Arial" w:hAnsi="Arial" w:cs="Arial"/>
          <w:b/>
          <w:bCs/>
        </w:rPr>
      </w:pPr>
      <w:r w:rsidRPr="009F333F">
        <w:rPr>
          <w:rFonts w:ascii="Arial" w:hAnsi="Arial" w:cs="Arial"/>
          <w:b/>
          <w:bCs/>
        </w:rPr>
        <w:t xml:space="preserve">Results: </w:t>
      </w:r>
      <w:r w:rsidRPr="009F333F">
        <w:rPr>
          <w:rFonts w:ascii="Arial" w:hAnsi="Arial" w:cs="Arial"/>
        </w:rPr>
        <w:t xml:space="preserve">The patient presented with </w:t>
      </w:r>
      <w:r w:rsidR="007D6F3F" w:rsidRPr="009F333F">
        <w:rPr>
          <w:rFonts w:ascii="Arial" w:hAnsi="Arial" w:cs="Arial"/>
        </w:rPr>
        <w:t xml:space="preserve">new onset of </w:t>
      </w:r>
      <w:r w:rsidRPr="009F333F">
        <w:rPr>
          <w:rFonts w:ascii="Arial" w:hAnsi="Arial" w:cs="Arial"/>
        </w:rPr>
        <w:t>diabetes</w:t>
      </w:r>
      <w:r w:rsidR="007D6F3F" w:rsidRPr="009F333F">
        <w:rPr>
          <w:rFonts w:ascii="Arial" w:hAnsi="Arial" w:cs="Arial"/>
        </w:rPr>
        <w:t xml:space="preserve"> associated with </w:t>
      </w:r>
      <w:r w:rsidRPr="009F333F">
        <w:rPr>
          <w:rFonts w:ascii="Arial" w:hAnsi="Arial" w:cs="Arial"/>
        </w:rPr>
        <w:t>significant weight loss (BMI 26 to 17.1 kg/m²)</w:t>
      </w:r>
      <w:r w:rsidR="007D6F3F" w:rsidRPr="009F333F">
        <w:rPr>
          <w:rFonts w:ascii="Arial" w:hAnsi="Arial" w:cs="Arial"/>
        </w:rPr>
        <w:t xml:space="preserve">.  She had a </w:t>
      </w:r>
      <w:r w:rsidRPr="009F333F">
        <w:rPr>
          <w:rFonts w:ascii="Arial" w:hAnsi="Arial" w:cs="Arial"/>
        </w:rPr>
        <w:t xml:space="preserve">strong maternal family history of diabetes (mother, </w:t>
      </w:r>
      <w:r w:rsidR="006E2D2A" w:rsidRPr="009F333F">
        <w:rPr>
          <w:rFonts w:ascii="Arial" w:hAnsi="Arial" w:cs="Arial"/>
        </w:rPr>
        <w:t xml:space="preserve">maternal </w:t>
      </w:r>
      <w:r w:rsidRPr="009F333F">
        <w:rPr>
          <w:rFonts w:ascii="Arial" w:hAnsi="Arial" w:cs="Arial"/>
        </w:rPr>
        <w:t xml:space="preserve">uncle, and brother affected). </w:t>
      </w:r>
      <w:r w:rsidR="00D04708" w:rsidRPr="009F333F">
        <w:rPr>
          <w:rFonts w:ascii="Arial" w:hAnsi="Arial" w:cs="Arial"/>
        </w:rPr>
        <w:t>L</w:t>
      </w:r>
      <w:r w:rsidRPr="009F333F">
        <w:rPr>
          <w:rFonts w:ascii="Arial" w:hAnsi="Arial" w:cs="Arial"/>
        </w:rPr>
        <w:t xml:space="preserve">aboratory </w:t>
      </w:r>
      <w:r w:rsidR="007D6F3F" w:rsidRPr="009F333F">
        <w:rPr>
          <w:rFonts w:ascii="Arial" w:hAnsi="Arial" w:cs="Arial"/>
        </w:rPr>
        <w:t>investigations</w:t>
      </w:r>
      <w:r w:rsidRPr="009F333F">
        <w:rPr>
          <w:rFonts w:ascii="Arial" w:hAnsi="Arial" w:cs="Arial"/>
        </w:rPr>
        <w:t xml:space="preserve"> at diagnosis revealed </w:t>
      </w:r>
      <w:r w:rsidR="007D6F3F" w:rsidRPr="009F333F">
        <w:rPr>
          <w:rFonts w:ascii="Arial" w:hAnsi="Arial" w:cs="Arial"/>
        </w:rPr>
        <w:t xml:space="preserve">an </w:t>
      </w:r>
      <w:r w:rsidRPr="009F333F">
        <w:rPr>
          <w:rFonts w:ascii="Arial" w:hAnsi="Arial" w:cs="Arial"/>
        </w:rPr>
        <w:t>HbA1c</w:t>
      </w:r>
      <w:r w:rsidR="003C4F10" w:rsidRPr="009F333F">
        <w:rPr>
          <w:rFonts w:ascii="Arial" w:hAnsi="Arial" w:cs="Arial"/>
        </w:rPr>
        <w:t xml:space="preserve"> of 9.0</w:t>
      </w:r>
      <w:r w:rsidR="007D6F3F" w:rsidRPr="009F333F">
        <w:rPr>
          <w:rFonts w:ascii="Arial" w:hAnsi="Arial" w:cs="Arial"/>
        </w:rPr>
        <w:t>%</w:t>
      </w:r>
      <w:r w:rsidRPr="009F333F">
        <w:rPr>
          <w:rFonts w:ascii="Arial" w:hAnsi="Arial" w:cs="Arial"/>
        </w:rPr>
        <w:t xml:space="preserve"> and fasting glucose </w:t>
      </w:r>
      <w:r w:rsidR="007D6F3F" w:rsidRPr="009F333F">
        <w:rPr>
          <w:rFonts w:ascii="Arial" w:hAnsi="Arial" w:cs="Arial"/>
        </w:rPr>
        <w:t xml:space="preserve">of </w:t>
      </w:r>
      <w:r w:rsidR="003C4F10" w:rsidRPr="009F333F">
        <w:rPr>
          <w:rFonts w:ascii="Arial" w:hAnsi="Arial" w:cs="Arial"/>
        </w:rPr>
        <w:t>11.1</w:t>
      </w:r>
      <w:r w:rsidR="007D6F3F" w:rsidRPr="009F333F">
        <w:rPr>
          <w:rFonts w:ascii="Arial" w:hAnsi="Arial" w:cs="Arial"/>
        </w:rPr>
        <w:t xml:space="preserve"> mmol/L</w:t>
      </w:r>
      <w:r w:rsidRPr="009F333F">
        <w:rPr>
          <w:rFonts w:ascii="Arial" w:hAnsi="Arial" w:cs="Arial"/>
        </w:rPr>
        <w:t xml:space="preserve">. </w:t>
      </w:r>
      <w:r w:rsidR="007D6F3F" w:rsidRPr="009F333F">
        <w:rPr>
          <w:rFonts w:ascii="Arial" w:hAnsi="Arial" w:cs="Arial"/>
        </w:rPr>
        <w:t xml:space="preserve"> </w:t>
      </w:r>
      <w:r w:rsidRPr="009F333F">
        <w:rPr>
          <w:rFonts w:ascii="Arial" w:hAnsi="Arial" w:cs="Arial"/>
        </w:rPr>
        <w:t>At age 71</w:t>
      </w:r>
      <w:r w:rsidR="007D6F3F" w:rsidRPr="009F333F">
        <w:rPr>
          <w:rFonts w:ascii="Arial" w:hAnsi="Arial" w:cs="Arial"/>
        </w:rPr>
        <w:t xml:space="preserve"> years</w:t>
      </w:r>
      <w:r w:rsidRPr="009F333F">
        <w:rPr>
          <w:rFonts w:ascii="Arial" w:hAnsi="Arial" w:cs="Arial"/>
        </w:rPr>
        <w:t xml:space="preserve">, testing showed negative GAD/IA2 antibodies, and normal C-peptide (0.8 nmol/L), indicating preserved beta-cell function. Genetic testing identified a </w:t>
      </w:r>
      <w:proofErr w:type="spellStart"/>
      <w:r w:rsidRPr="009F333F">
        <w:rPr>
          <w:rFonts w:ascii="Arial" w:hAnsi="Arial" w:cs="Arial"/>
        </w:rPr>
        <w:t>heteroplasmic</w:t>
      </w:r>
      <w:proofErr w:type="spellEnd"/>
      <w:r w:rsidRPr="009F333F">
        <w:rPr>
          <w:rFonts w:ascii="Arial" w:hAnsi="Arial" w:cs="Arial"/>
        </w:rPr>
        <w:t xml:space="preserve"> MT-TSI m.7479G&gt;A </w:t>
      </w:r>
      <w:proofErr w:type="gramStart"/>
      <w:r w:rsidRPr="009F333F">
        <w:rPr>
          <w:rFonts w:ascii="Arial" w:hAnsi="Arial" w:cs="Arial"/>
        </w:rPr>
        <w:t>variant</w:t>
      </w:r>
      <w:r w:rsidR="006371EF" w:rsidRPr="009F333F">
        <w:rPr>
          <w:rFonts w:ascii="Arial" w:hAnsi="Arial" w:cs="Arial"/>
        </w:rPr>
        <w:t xml:space="preserve"> </w:t>
      </w:r>
      <w:r w:rsidRPr="009F333F">
        <w:rPr>
          <w:rFonts w:ascii="Arial" w:hAnsi="Arial" w:cs="Arial"/>
        </w:rPr>
        <w:t xml:space="preserve"> (</w:t>
      </w:r>
      <w:proofErr w:type="gramEnd"/>
      <w:r w:rsidRPr="009F333F">
        <w:rPr>
          <w:rFonts w:ascii="Arial" w:hAnsi="Arial" w:cs="Arial"/>
        </w:rPr>
        <w:t>13.90%</w:t>
      </w:r>
      <w:r w:rsidR="006371EF" w:rsidRPr="009F333F">
        <w:rPr>
          <w:rFonts w:ascii="Arial" w:hAnsi="Arial" w:cs="Arial"/>
        </w:rPr>
        <w:t xml:space="preserve"> proportion </w:t>
      </w:r>
      <w:proofErr w:type="spellStart"/>
      <w:r w:rsidR="006371EF" w:rsidRPr="009F333F">
        <w:rPr>
          <w:rFonts w:ascii="Arial" w:hAnsi="Arial" w:cs="Arial"/>
        </w:rPr>
        <w:t>heteroplasmy</w:t>
      </w:r>
      <w:proofErr w:type="spellEnd"/>
      <w:r w:rsidRPr="009F333F">
        <w:rPr>
          <w:rFonts w:ascii="Arial" w:hAnsi="Arial" w:cs="Arial"/>
        </w:rPr>
        <w:t xml:space="preserve">), absent from </w:t>
      </w:r>
      <w:r w:rsidR="00E91E9D" w:rsidRPr="009F333F">
        <w:rPr>
          <w:rFonts w:ascii="Arial" w:hAnsi="Arial" w:cs="Arial"/>
        </w:rPr>
        <w:t>the</w:t>
      </w:r>
      <w:r w:rsidRPr="009F333F">
        <w:rPr>
          <w:rFonts w:ascii="Arial" w:hAnsi="Arial" w:cs="Arial"/>
        </w:rPr>
        <w:t xml:space="preserve"> </w:t>
      </w:r>
      <w:proofErr w:type="spellStart"/>
      <w:r w:rsidRPr="009F333F">
        <w:rPr>
          <w:rFonts w:ascii="Arial" w:hAnsi="Arial" w:cs="Arial"/>
        </w:rPr>
        <w:t>HmtVar</w:t>
      </w:r>
      <w:proofErr w:type="spellEnd"/>
      <w:r w:rsidRPr="009F333F">
        <w:rPr>
          <w:rFonts w:ascii="Arial" w:hAnsi="Arial" w:cs="Arial"/>
        </w:rPr>
        <w:t xml:space="preserve"> database</w:t>
      </w:r>
      <w:r w:rsidR="00E91E9D" w:rsidRPr="009F333F">
        <w:rPr>
          <w:rFonts w:ascii="Arial" w:hAnsi="Arial" w:cs="Arial"/>
        </w:rPr>
        <w:t>, and previously undescribed in the literature</w:t>
      </w:r>
      <w:r w:rsidRPr="009F333F">
        <w:rPr>
          <w:rFonts w:ascii="Arial" w:hAnsi="Arial" w:cs="Arial"/>
        </w:rPr>
        <w:t xml:space="preserve">. </w:t>
      </w:r>
      <w:proofErr w:type="gramStart"/>
      <w:r w:rsidR="00D04708" w:rsidRPr="009F333F">
        <w:rPr>
          <w:rFonts w:ascii="Arial" w:hAnsi="Arial" w:cs="Arial"/>
        </w:rPr>
        <w:t>In spite of</w:t>
      </w:r>
      <w:proofErr w:type="gramEnd"/>
      <w:r w:rsidR="00D04708" w:rsidRPr="009F333F">
        <w:rPr>
          <w:rFonts w:ascii="Arial" w:hAnsi="Arial" w:cs="Arial"/>
        </w:rPr>
        <w:t xml:space="preserve"> limited functional studies, we believe this mutation is likely to be pathogenic due to </w:t>
      </w:r>
      <w:r w:rsidRPr="009F333F">
        <w:rPr>
          <w:rFonts w:ascii="Arial" w:hAnsi="Arial" w:cs="Arial"/>
        </w:rPr>
        <w:t xml:space="preserve">the MT-TSI gene’s critical role in mitochondrial tRNA function and oxidative phosphorylation. Treatment with metformin (1000 mg daily) and sitagliptin (100 mg daily) </w:t>
      </w:r>
      <w:r w:rsidR="00D04708" w:rsidRPr="009F333F">
        <w:rPr>
          <w:rFonts w:ascii="Arial" w:hAnsi="Arial" w:cs="Arial"/>
        </w:rPr>
        <w:t>maintained</w:t>
      </w:r>
      <w:r w:rsidRPr="009F333F">
        <w:rPr>
          <w:rFonts w:ascii="Arial" w:hAnsi="Arial" w:cs="Arial"/>
        </w:rPr>
        <w:t xml:space="preserve"> stable </w:t>
      </w:r>
      <w:r w:rsidR="00DF5E0F" w:rsidRPr="009F333F">
        <w:rPr>
          <w:rFonts w:ascii="Arial" w:hAnsi="Arial" w:cs="Arial"/>
        </w:rPr>
        <w:t>glycaemic</w:t>
      </w:r>
      <w:r w:rsidRPr="009F333F">
        <w:rPr>
          <w:rFonts w:ascii="Arial" w:hAnsi="Arial" w:cs="Arial"/>
        </w:rPr>
        <w:t xml:space="preserve"> control (</w:t>
      </w:r>
      <w:r w:rsidR="00081345" w:rsidRPr="009F333F">
        <w:rPr>
          <w:rFonts w:ascii="Arial" w:hAnsi="Arial" w:cs="Arial"/>
        </w:rPr>
        <w:t xml:space="preserve">HbA1c 6.5%) </w:t>
      </w:r>
      <w:r w:rsidR="00D04708" w:rsidRPr="009F333F">
        <w:rPr>
          <w:rFonts w:ascii="Arial" w:hAnsi="Arial" w:cs="Arial"/>
        </w:rPr>
        <w:t xml:space="preserve">since diagnosis, </w:t>
      </w:r>
      <w:r w:rsidRPr="009F333F">
        <w:rPr>
          <w:rFonts w:ascii="Arial" w:hAnsi="Arial" w:cs="Arial"/>
        </w:rPr>
        <w:t>without insulin or complications). Metformin was continued despite mitochondrial disease, supported by normal liver function and no lactic acidosis over 21 years.</w:t>
      </w:r>
      <w:r w:rsidR="00D04708" w:rsidRPr="009F333F">
        <w:rPr>
          <w:rFonts w:ascii="Arial" w:hAnsi="Arial" w:cs="Arial"/>
        </w:rPr>
        <w:t xml:space="preserve"> The patient has no children, but genetic counselling was offered to relatives.</w:t>
      </w:r>
    </w:p>
    <w:p w14:paraId="08521CC6" w14:textId="60648B5B" w:rsidR="00D930E1" w:rsidRPr="009F333F" w:rsidRDefault="00DB7658" w:rsidP="0006497C">
      <w:pPr>
        <w:jc w:val="both"/>
        <w:rPr>
          <w:rFonts w:ascii="Arial" w:hAnsi="Arial" w:cs="Arial"/>
        </w:rPr>
      </w:pPr>
      <w:r w:rsidRPr="009F333F">
        <w:rPr>
          <w:rFonts w:ascii="Arial" w:hAnsi="Arial" w:cs="Arial"/>
          <w:b/>
          <w:bCs/>
        </w:rPr>
        <w:t xml:space="preserve">Conclusion: </w:t>
      </w:r>
      <w:r w:rsidRPr="009F333F">
        <w:rPr>
          <w:rFonts w:ascii="Arial" w:hAnsi="Arial" w:cs="Arial"/>
        </w:rPr>
        <w:t xml:space="preserve">The novel MT-TSI m.7479G&gt;A variant likely underlies mitochondrial diabetes, emphasizing the importance of </w:t>
      </w:r>
      <w:proofErr w:type="spellStart"/>
      <w:r w:rsidRPr="009F333F">
        <w:rPr>
          <w:rFonts w:ascii="Arial" w:hAnsi="Arial" w:cs="Arial"/>
        </w:rPr>
        <w:t>mtDNA</w:t>
      </w:r>
      <w:proofErr w:type="spellEnd"/>
      <w:r w:rsidRPr="009F333F">
        <w:rPr>
          <w:rFonts w:ascii="Arial" w:hAnsi="Arial" w:cs="Arial"/>
        </w:rPr>
        <w:t xml:space="preserve"> sequencing in atypical diabetes presentations to enable accurate diagnosis, personalized treatment, and genetic </w:t>
      </w:r>
      <w:r w:rsidR="00DF5E0F" w:rsidRPr="009F333F">
        <w:rPr>
          <w:rFonts w:ascii="Arial" w:hAnsi="Arial" w:cs="Arial"/>
        </w:rPr>
        <w:t>counselling</w:t>
      </w:r>
      <w:r w:rsidR="007D6F3F" w:rsidRPr="009F333F">
        <w:rPr>
          <w:rFonts w:ascii="Arial" w:hAnsi="Arial" w:cs="Arial"/>
        </w:rPr>
        <w:t>.</w:t>
      </w:r>
    </w:p>
    <w:sectPr w:rsidR="00D930E1" w:rsidRPr="009F3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42C7"/>
    <w:multiLevelType w:val="multilevel"/>
    <w:tmpl w:val="139A6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85C6A"/>
    <w:multiLevelType w:val="multilevel"/>
    <w:tmpl w:val="1DE8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51A73"/>
    <w:multiLevelType w:val="multilevel"/>
    <w:tmpl w:val="EB92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37F5B"/>
    <w:multiLevelType w:val="multilevel"/>
    <w:tmpl w:val="556C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C04E0"/>
    <w:multiLevelType w:val="multilevel"/>
    <w:tmpl w:val="3A1E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B3548"/>
    <w:multiLevelType w:val="hybridMultilevel"/>
    <w:tmpl w:val="711CC99A"/>
    <w:lvl w:ilvl="0" w:tplc="A8487F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12703"/>
    <w:multiLevelType w:val="multilevel"/>
    <w:tmpl w:val="A35A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F16AE"/>
    <w:multiLevelType w:val="multilevel"/>
    <w:tmpl w:val="78F6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E5FDE"/>
    <w:multiLevelType w:val="multilevel"/>
    <w:tmpl w:val="1ACE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94D54"/>
    <w:multiLevelType w:val="multilevel"/>
    <w:tmpl w:val="BE92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665B59"/>
    <w:multiLevelType w:val="multilevel"/>
    <w:tmpl w:val="6756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B3E52"/>
    <w:multiLevelType w:val="multilevel"/>
    <w:tmpl w:val="FCCA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FD01C9"/>
    <w:multiLevelType w:val="multilevel"/>
    <w:tmpl w:val="3428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841457">
    <w:abstractNumId w:val="12"/>
  </w:num>
  <w:num w:numId="2" w16cid:durableId="1037513688">
    <w:abstractNumId w:val="4"/>
  </w:num>
  <w:num w:numId="3" w16cid:durableId="1718553590">
    <w:abstractNumId w:val="6"/>
  </w:num>
  <w:num w:numId="4" w16cid:durableId="1567954455">
    <w:abstractNumId w:val="9"/>
  </w:num>
  <w:num w:numId="5" w16cid:durableId="189875864">
    <w:abstractNumId w:val="7"/>
  </w:num>
  <w:num w:numId="6" w16cid:durableId="1161043133">
    <w:abstractNumId w:val="11"/>
  </w:num>
  <w:num w:numId="7" w16cid:durableId="1720128639">
    <w:abstractNumId w:val="10"/>
  </w:num>
  <w:num w:numId="8" w16cid:durableId="1592201106">
    <w:abstractNumId w:val="0"/>
  </w:num>
  <w:num w:numId="9" w16cid:durableId="1701394022">
    <w:abstractNumId w:val="3"/>
  </w:num>
  <w:num w:numId="10" w16cid:durableId="1501307032">
    <w:abstractNumId w:val="1"/>
  </w:num>
  <w:num w:numId="11" w16cid:durableId="1871717528">
    <w:abstractNumId w:val="8"/>
  </w:num>
  <w:num w:numId="12" w16cid:durableId="1271083770">
    <w:abstractNumId w:val="2"/>
  </w:num>
  <w:num w:numId="13" w16cid:durableId="1250388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CF"/>
    <w:rsid w:val="00015161"/>
    <w:rsid w:val="00015ED4"/>
    <w:rsid w:val="000202B3"/>
    <w:rsid w:val="00041BD8"/>
    <w:rsid w:val="00047A96"/>
    <w:rsid w:val="0006497C"/>
    <w:rsid w:val="00072F88"/>
    <w:rsid w:val="0007479F"/>
    <w:rsid w:val="00081345"/>
    <w:rsid w:val="000840E2"/>
    <w:rsid w:val="000B0D0E"/>
    <w:rsid w:val="000D25E7"/>
    <w:rsid w:val="000E31D2"/>
    <w:rsid w:val="000F66F0"/>
    <w:rsid w:val="001036AC"/>
    <w:rsid w:val="001049FE"/>
    <w:rsid w:val="00155FB3"/>
    <w:rsid w:val="00171E51"/>
    <w:rsid w:val="001F5D04"/>
    <w:rsid w:val="00205B9D"/>
    <w:rsid w:val="00206E71"/>
    <w:rsid w:val="00206F56"/>
    <w:rsid w:val="00207734"/>
    <w:rsid w:val="00215B32"/>
    <w:rsid w:val="00224BD7"/>
    <w:rsid w:val="00270A1C"/>
    <w:rsid w:val="002A6FF0"/>
    <w:rsid w:val="002C18BA"/>
    <w:rsid w:val="002D0064"/>
    <w:rsid w:val="00326E9F"/>
    <w:rsid w:val="00327AC9"/>
    <w:rsid w:val="00356DF6"/>
    <w:rsid w:val="00361EEC"/>
    <w:rsid w:val="00362BC5"/>
    <w:rsid w:val="003C4F10"/>
    <w:rsid w:val="003D458B"/>
    <w:rsid w:val="003E04DC"/>
    <w:rsid w:val="003E3AC4"/>
    <w:rsid w:val="003F21AB"/>
    <w:rsid w:val="004123A8"/>
    <w:rsid w:val="00472E12"/>
    <w:rsid w:val="00485632"/>
    <w:rsid w:val="004862FA"/>
    <w:rsid w:val="004867BF"/>
    <w:rsid w:val="004917B2"/>
    <w:rsid w:val="004D6F4A"/>
    <w:rsid w:val="005308DA"/>
    <w:rsid w:val="00543E7E"/>
    <w:rsid w:val="00577684"/>
    <w:rsid w:val="00594556"/>
    <w:rsid w:val="005C7B80"/>
    <w:rsid w:val="006352C6"/>
    <w:rsid w:val="006371EF"/>
    <w:rsid w:val="00641EFD"/>
    <w:rsid w:val="00685B83"/>
    <w:rsid w:val="00696669"/>
    <w:rsid w:val="006A12CC"/>
    <w:rsid w:val="006E2D2A"/>
    <w:rsid w:val="007116FC"/>
    <w:rsid w:val="007208B6"/>
    <w:rsid w:val="0076159B"/>
    <w:rsid w:val="007D6F3F"/>
    <w:rsid w:val="007E155F"/>
    <w:rsid w:val="007F0D81"/>
    <w:rsid w:val="00806F43"/>
    <w:rsid w:val="00811B52"/>
    <w:rsid w:val="00841802"/>
    <w:rsid w:val="00873CC5"/>
    <w:rsid w:val="00890449"/>
    <w:rsid w:val="008D026A"/>
    <w:rsid w:val="008D5C39"/>
    <w:rsid w:val="00915401"/>
    <w:rsid w:val="00947AFC"/>
    <w:rsid w:val="00957082"/>
    <w:rsid w:val="009952C5"/>
    <w:rsid w:val="009D0B51"/>
    <w:rsid w:val="009E5D21"/>
    <w:rsid w:val="009F333F"/>
    <w:rsid w:val="00A27A5F"/>
    <w:rsid w:val="00A6531B"/>
    <w:rsid w:val="00AA7FB3"/>
    <w:rsid w:val="00B079C3"/>
    <w:rsid w:val="00B34329"/>
    <w:rsid w:val="00B46143"/>
    <w:rsid w:val="00B866D4"/>
    <w:rsid w:val="00B92590"/>
    <w:rsid w:val="00C137CF"/>
    <w:rsid w:val="00C373AF"/>
    <w:rsid w:val="00C47A00"/>
    <w:rsid w:val="00C66BF6"/>
    <w:rsid w:val="00CA0C18"/>
    <w:rsid w:val="00CC06BD"/>
    <w:rsid w:val="00CC2879"/>
    <w:rsid w:val="00CD3123"/>
    <w:rsid w:val="00CF4920"/>
    <w:rsid w:val="00CF7F72"/>
    <w:rsid w:val="00D04708"/>
    <w:rsid w:val="00D61A08"/>
    <w:rsid w:val="00D6307B"/>
    <w:rsid w:val="00D930E1"/>
    <w:rsid w:val="00DB7658"/>
    <w:rsid w:val="00DC18E8"/>
    <w:rsid w:val="00DE012A"/>
    <w:rsid w:val="00DE6D2F"/>
    <w:rsid w:val="00DF5E0F"/>
    <w:rsid w:val="00E01EC6"/>
    <w:rsid w:val="00E41F49"/>
    <w:rsid w:val="00E72EEF"/>
    <w:rsid w:val="00E82AB0"/>
    <w:rsid w:val="00E91E9D"/>
    <w:rsid w:val="00EA17EF"/>
    <w:rsid w:val="00EC5D3F"/>
    <w:rsid w:val="00F715B4"/>
    <w:rsid w:val="00F81A34"/>
    <w:rsid w:val="00FA29B7"/>
    <w:rsid w:val="00FC4AA6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4D44"/>
  <w15:chartTrackingRefBased/>
  <w15:docId w15:val="{D6CE3632-5527-465C-8521-4CDAB862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7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0B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B5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5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D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1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64327C-726F-4B29-8401-2F221F2825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C0D7B-0884-4D8B-B4C1-C13ADBCE7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69F6B-1BC1-41D1-89C7-C6D17E23E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B4F16F-B22D-4D7E-BADA-0116C66ADBD8}">
  <ds:schemaRefs>
    <ds:schemaRef ds:uri="6911e96c-4cc4-42d5-8e43-f93924cf6a05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9c8a2b7b-0bee-4c48-b0a6-23db8982d3bc"/>
    <ds:schemaRef ds:uri="cab52c9b-ab33-4221-8af9-54f8f2b86a80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Danek</dc:creator>
  <cp:keywords/>
  <dc:description/>
  <cp:lastModifiedBy>Tanya Yandall</cp:lastModifiedBy>
  <cp:revision>2</cp:revision>
  <dcterms:created xsi:type="dcterms:W3CDTF">2025-05-22T06:43:00Z</dcterms:created>
  <dcterms:modified xsi:type="dcterms:W3CDTF">2025-05-22T06:43:00Z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