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28A9" w14:textId="77777777" w:rsidR="00D04C38" w:rsidRDefault="00D04C38" w:rsidP="00D04C38">
      <w:pPr>
        <w:jc w:val="left"/>
        <w:rPr>
          <w:rFonts w:ascii="Arial" w:eastAsia="DengXian" w:hAnsi="Arial" w:cs="Arial"/>
          <w:b/>
          <w:bCs/>
          <w:sz w:val="22"/>
        </w:rPr>
      </w:pPr>
    </w:p>
    <w:p w14:paraId="35C9C127" w14:textId="77777777" w:rsidR="00D04C38" w:rsidRDefault="00D04C38" w:rsidP="00D04C38">
      <w:pPr>
        <w:jc w:val="left"/>
        <w:rPr>
          <w:rFonts w:ascii="Arial" w:eastAsia="DengXian" w:hAnsi="Arial" w:cs="Arial"/>
          <w:b/>
          <w:bCs/>
          <w:sz w:val="22"/>
        </w:rPr>
      </w:pPr>
    </w:p>
    <w:p w14:paraId="6B3BAFF4" w14:textId="06B3AB92" w:rsidR="00247970" w:rsidRPr="00D04C38" w:rsidRDefault="00362727" w:rsidP="00D04C38">
      <w:pPr>
        <w:jc w:val="left"/>
        <w:rPr>
          <w:rFonts w:ascii="Arial" w:eastAsia="DengXian" w:hAnsi="Arial" w:cs="Arial"/>
          <w:b/>
          <w:bCs/>
          <w:sz w:val="22"/>
        </w:rPr>
      </w:pPr>
      <w:r w:rsidRPr="00D04C38">
        <w:rPr>
          <w:rFonts w:ascii="Arial" w:eastAsia="DengXian" w:hAnsi="Arial" w:cs="Arial"/>
          <w:b/>
          <w:bCs/>
          <w:sz w:val="22"/>
        </w:rPr>
        <w:t>Low-Carb Staple Foods Improve Glycemic Control and Variability in Type 2 Diabetes: A Multicenter Randomized Controlled Trial</w:t>
      </w:r>
    </w:p>
    <w:p w14:paraId="42EA687A" w14:textId="77777777" w:rsidR="00247970" w:rsidRDefault="00247970" w:rsidP="00D04C38">
      <w:pPr>
        <w:jc w:val="left"/>
        <w:rPr>
          <w:rFonts w:ascii="Arial" w:eastAsia="DengXian" w:hAnsi="Arial" w:cs="Arial"/>
          <w:sz w:val="22"/>
        </w:rPr>
      </w:pPr>
    </w:p>
    <w:p w14:paraId="26FFE946" w14:textId="77777777" w:rsidR="00247970" w:rsidRDefault="00362727" w:rsidP="00D04C38">
      <w:pPr>
        <w:spacing w:before="120" w:after="120"/>
        <w:jc w:val="left"/>
      </w:pPr>
      <w:r>
        <w:rPr>
          <w:rFonts w:ascii="Arial" w:eastAsia="DengXian" w:hAnsi="Arial" w:cs="Arial"/>
          <w:b/>
          <w:sz w:val="22"/>
        </w:rPr>
        <w:t>Aim</w:t>
      </w:r>
      <w:r>
        <w:rPr>
          <w:rFonts w:ascii="Arial" w:eastAsia="DengXian" w:hAnsi="Arial" w:cs="Arial"/>
          <w:sz w:val="22"/>
        </w:rPr>
        <w:t xml:space="preserve">: To investigate the effects of </w:t>
      </w:r>
      <w:r>
        <w:rPr>
          <w:rFonts w:ascii="Arial" w:eastAsia="DengXian" w:hAnsi="Arial" w:cs="Arial" w:hint="eastAsia"/>
          <w:sz w:val="22"/>
        </w:rPr>
        <w:t xml:space="preserve">a novel low-carbohydrate staple food (LCSF) intervention, </w:t>
      </w:r>
      <w:r>
        <w:rPr>
          <w:rFonts w:ascii="Arial" w:eastAsia="DengXian" w:hAnsi="Arial" w:cs="Arial"/>
          <w:sz w:val="22"/>
        </w:rPr>
        <w:t>with or without prebiotics</w:t>
      </w:r>
      <w:r>
        <w:rPr>
          <w:rFonts w:ascii="Arial" w:eastAsia="DengXian" w:hAnsi="Arial" w:cs="Arial" w:hint="eastAsia"/>
          <w:sz w:val="22"/>
        </w:rPr>
        <w:t>,</w:t>
      </w:r>
      <w:r>
        <w:rPr>
          <w:rFonts w:ascii="Arial" w:eastAsia="DengXian" w:hAnsi="Arial" w:cs="Arial"/>
          <w:sz w:val="22"/>
        </w:rPr>
        <w:t xml:space="preserve"> on glycemic control, variability and metabolic</w:t>
      </w:r>
      <w:r>
        <w:rPr>
          <w:rFonts w:ascii="Arial" w:eastAsia="DengXian" w:hAnsi="Arial" w:cs="Arial" w:hint="eastAsia"/>
          <w:sz w:val="22"/>
        </w:rPr>
        <w:t xml:space="preserve"> parameters</w:t>
      </w:r>
      <w:r>
        <w:rPr>
          <w:rFonts w:ascii="Arial" w:eastAsia="DengXian" w:hAnsi="Arial" w:cs="Arial"/>
          <w:sz w:val="22"/>
        </w:rPr>
        <w:t xml:space="preserve"> in patients with type 2 diabetes (T2DM).</w:t>
      </w:r>
    </w:p>
    <w:p w14:paraId="0779296B" w14:textId="77777777" w:rsidR="00247970" w:rsidRDefault="00362727" w:rsidP="00D04C38">
      <w:pPr>
        <w:spacing w:before="120" w:after="120"/>
        <w:jc w:val="left"/>
        <w:rPr>
          <w:rFonts w:ascii="Arial" w:eastAsia="DengXian" w:hAnsi="Arial" w:cs="Arial"/>
          <w:sz w:val="22"/>
        </w:rPr>
      </w:pPr>
      <w:r>
        <w:rPr>
          <w:rFonts w:ascii="Arial" w:eastAsia="DengXian" w:hAnsi="Arial" w:cs="Arial"/>
          <w:b/>
          <w:sz w:val="22"/>
        </w:rPr>
        <w:t>Methods</w:t>
      </w:r>
      <w:r>
        <w:rPr>
          <w:rFonts w:ascii="Arial" w:eastAsia="DengXian" w:hAnsi="Arial" w:cs="Arial"/>
          <w:sz w:val="22"/>
        </w:rPr>
        <w:t xml:space="preserve">: </w:t>
      </w:r>
      <w:r>
        <w:rPr>
          <w:rFonts w:ascii="Arial" w:eastAsia="DengXian" w:hAnsi="Arial" w:cs="Arial" w:hint="eastAsia"/>
          <w:sz w:val="22"/>
        </w:rPr>
        <w:t>In this 12-week, multicenter, randomized controlled trial, 77 adults with T2DM (HbA1c 7.0-9.0%) were assigned to one of three groups: 1) conventional staple foods (CSF, n=21); 2) LCSF (n=25); or 3) LCSF plus prebiot</w:t>
      </w:r>
      <w:r>
        <w:rPr>
          <w:rFonts w:ascii="Arial" w:eastAsia="DengXian" w:hAnsi="Arial" w:cs="Arial" w:hint="eastAsia"/>
          <w:sz w:val="22"/>
        </w:rPr>
        <w:t>ics (LCSF+P, n=23)</w:t>
      </w:r>
      <w:r>
        <w:rPr>
          <w:rFonts w:ascii="Arial" w:eastAsia="DengXian" w:hAnsi="Arial" w:cs="Arial"/>
          <w:sz w:val="22"/>
        </w:rPr>
        <w:t xml:space="preserve">. </w:t>
      </w:r>
      <w:r>
        <w:rPr>
          <w:rFonts w:ascii="Arial" w:eastAsia="DengXian" w:hAnsi="Arial" w:cs="Arial" w:hint="eastAsia"/>
          <w:sz w:val="22"/>
        </w:rPr>
        <w:t>The primary outcomes were changes in HbA1c and continuous glucose monitoring (CGM) metrics including time in range (TIR) and glycemic variability. Secondary outcomes encompassed body composition, lipid profiles, gut microbiota, and serum metabolomics.</w:t>
      </w:r>
    </w:p>
    <w:p w14:paraId="69042AF6" w14:textId="77777777" w:rsidR="00247970" w:rsidRDefault="00362727" w:rsidP="00D04C38">
      <w:pPr>
        <w:spacing w:before="120" w:after="120"/>
        <w:jc w:val="left"/>
        <w:rPr>
          <w:rFonts w:ascii="Arial" w:hAnsi="Arial" w:cs="Arial"/>
          <w:color w:val="000000"/>
          <w:sz w:val="22"/>
        </w:rPr>
      </w:pPr>
      <w:r>
        <w:rPr>
          <w:rFonts w:ascii="Arial" w:eastAsia="DengXian" w:hAnsi="Arial" w:cs="Arial"/>
          <w:b/>
          <w:sz w:val="22"/>
        </w:rPr>
        <w:t>Results</w:t>
      </w:r>
      <w:r>
        <w:rPr>
          <w:rFonts w:ascii="Arial" w:eastAsia="DengXian" w:hAnsi="Arial" w:cs="Arial"/>
          <w:sz w:val="22"/>
        </w:rPr>
        <w:t xml:space="preserve">: </w:t>
      </w:r>
      <w:r>
        <w:rPr>
          <w:rFonts w:ascii="Arial" w:hAnsi="Arial" w:cs="Arial"/>
          <w:color w:val="000000"/>
          <w:sz w:val="22"/>
        </w:rPr>
        <w:t>After 12 weeks, both LCSF and LCSF+P groups achieved a significantly greater reduction in HbA1c compared to the CSF group (mean difference: -0.5% [95% CI, -0.8 to -0.2]; P=0.003 for both). The proportion of patients attaining HbA1c &lt;7.0% was 92.0% in the LCSF group, 82.6% in the LCSF+P group, and 47.6% in the CSF group (P&lt;0.001). Compared to CSF, both LCSF interventions significantly increased TIR (LCSF: 97.6%; LCSF+P: 96.7% vs. CSF: 83.4%; P&lt;0.001) and reduced glycemic variability (coefficient of variati</w:t>
      </w:r>
      <w:r>
        <w:rPr>
          <w:rFonts w:ascii="Arial" w:hAnsi="Arial" w:cs="Arial"/>
          <w:color w:val="000000"/>
          <w:sz w:val="22"/>
        </w:rPr>
        <w:t xml:space="preserve">on: LCSF: 21.1%; LCSF+P: 20.7% vs. CSF: 28.5%; P&lt;0.001). The LCSF groups also demonstrated more significant improvements in body weight and waist circumference. </w:t>
      </w:r>
      <w:proofErr w:type="gramStart"/>
      <w:r>
        <w:rPr>
          <w:rFonts w:ascii="Arial" w:hAnsi="Arial" w:cs="Arial"/>
          <w:color w:val="000000"/>
          <w:sz w:val="22"/>
        </w:rPr>
        <w:t>Gut</w:t>
      </w:r>
      <w:proofErr w:type="gramEnd"/>
      <w:r>
        <w:rPr>
          <w:rFonts w:ascii="Arial" w:hAnsi="Arial" w:cs="Arial"/>
          <w:color w:val="000000"/>
          <w:sz w:val="22"/>
        </w:rPr>
        <w:t xml:space="preserve"> microbiota analysis revealed a marked reduction in the abundance of the</w:t>
      </w:r>
      <w:r>
        <w:rPr>
          <w:rStyle w:val="apple-converted-space"/>
          <w:rFonts w:ascii="Arial" w:hAnsi="Arial" w:cs="Arial"/>
          <w:color w:val="000000"/>
          <w:sz w:val="22"/>
        </w:rPr>
        <w:t> </w:t>
      </w:r>
      <w:proofErr w:type="spellStart"/>
      <w:r>
        <w:rPr>
          <w:rStyle w:val="Emphasis"/>
          <w:rFonts w:ascii="Arial" w:hAnsi="Arial" w:cs="Arial"/>
          <w:color w:val="000000"/>
          <w:sz w:val="22"/>
        </w:rPr>
        <w:t>Ruminococcus</w:t>
      </w:r>
      <w:proofErr w:type="spellEnd"/>
      <w:r>
        <w:rPr>
          <w:rStyle w:val="Emphasis"/>
          <w:rFonts w:ascii="Arial" w:hAnsi="Arial" w:cs="Arial"/>
          <w:color w:val="000000"/>
          <w:sz w:val="22"/>
        </w:rPr>
        <w:t xml:space="preserve"> torqu</w:t>
      </w:r>
      <w:r>
        <w:rPr>
          <w:rStyle w:val="Emphasis"/>
          <w:rFonts w:ascii="Arial" w:hAnsi="Arial" w:cs="Arial"/>
          <w:color w:val="000000"/>
          <w:sz w:val="22"/>
        </w:rPr>
        <w:t>es</w:t>
      </w:r>
      <w:r>
        <w:rPr>
          <w:rStyle w:val="Emphasis"/>
          <w:rFonts w:ascii="Arial" w:hAnsi="Arial" w:cs="Arial" w:hint="eastAsia"/>
          <w:color w:val="000000"/>
          <w:sz w:val="22"/>
        </w:rPr>
        <w:t xml:space="preserve"> </w:t>
      </w:r>
      <w:r>
        <w:rPr>
          <w:rFonts w:ascii="Arial" w:hAnsi="Arial" w:cs="Arial"/>
          <w:color w:val="000000"/>
          <w:sz w:val="22"/>
        </w:rPr>
        <w:t xml:space="preserve">group, </w:t>
      </w:r>
      <w:r>
        <w:rPr>
          <w:rFonts w:ascii="Arial" w:hAnsi="Arial" w:cs="Arial"/>
          <w:color w:val="000000"/>
          <w:sz w:val="22"/>
        </w:rPr>
        <w:t>which was positively associated with HbA1c improvement. Corresponding serum metabolomic analysis showed decreased alanine levels, correlating positively with the reduction in</w:t>
      </w:r>
      <w:r>
        <w:rPr>
          <w:rStyle w:val="apple-converted-space"/>
          <w:rFonts w:ascii="Arial" w:hAnsi="Arial" w:cs="Arial"/>
          <w:color w:val="000000"/>
          <w:sz w:val="22"/>
        </w:rPr>
        <w:t> </w:t>
      </w:r>
      <w:r>
        <w:rPr>
          <w:rStyle w:val="Emphasis"/>
          <w:rFonts w:ascii="Arial" w:hAnsi="Arial" w:cs="Arial"/>
          <w:color w:val="000000"/>
          <w:sz w:val="22"/>
        </w:rPr>
        <w:t>R. torques</w:t>
      </w:r>
      <w:r>
        <w:rPr>
          <w:rFonts w:ascii="Arial" w:hAnsi="Arial" w:cs="Arial"/>
          <w:color w:val="000000"/>
          <w:sz w:val="22"/>
        </w:rPr>
        <w:t>. No significant changes in LDL-cholesterol or triglycerides were observed, and the incidence of adverse events was comparable to the CSF group.</w:t>
      </w:r>
    </w:p>
    <w:p w14:paraId="41883129" w14:textId="77777777" w:rsidR="00247970" w:rsidRDefault="00362727" w:rsidP="00D04C38">
      <w:pPr>
        <w:spacing w:before="120" w:after="120"/>
        <w:jc w:val="left"/>
        <w:rPr>
          <w:rFonts w:eastAsia="DengXian"/>
        </w:rPr>
      </w:pPr>
      <w:r>
        <w:rPr>
          <w:rFonts w:ascii="Arial" w:eastAsia="DengXian" w:hAnsi="Arial" w:cs="Arial"/>
          <w:b/>
          <w:sz w:val="22"/>
        </w:rPr>
        <w:t>Conclusion</w:t>
      </w:r>
      <w:r>
        <w:rPr>
          <w:rFonts w:ascii="Arial" w:eastAsia="DengXian" w:hAnsi="Arial" w:cs="Arial"/>
          <w:sz w:val="22"/>
        </w:rPr>
        <w:t xml:space="preserve">: </w:t>
      </w:r>
      <w:r>
        <w:rPr>
          <w:rFonts w:ascii="Arial" w:eastAsia="DengXian" w:hAnsi="Arial" w:cs="Arial" w:hint="eastAsia"/>
          <w:sz w:val="22"/>
        </w:rPr>
        <w:t>A dietary strategy that substitutes conventional staples with specially formulated low-carbohydrate alternatives significantly improves glycemic control and reduces glycemic variability in patients with T2DM, without adverse effects on lipid profiles or safety. (Clinical Trials Reg. No. ChiCTR2500098230)</w:t>
      </w:r>
    </w:p>
    <w:p w14:paraId="3B161D53" w14:textId="77777777" w:rsidR="00247970" w:rsidRDefault="00247970"/>
    <w:sectPr w:rsidR="002479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ACB314B"/>
    <w:rsid w:val="002045B1"/>
    <w:rsid w:val="00241114"/>
    <w:rsid w:val="00247970"/>
    <w:rsid w:val="00414A68"/>
    <w:rsid w:val="007F3394"/>
    <w:rsid w:val="00851EE0"/>
    <w:rsid w:val="00857F2F"/>
    <w:rsid w:val="008F4FF1"/>
    <w:rsid w:val="00C871C5"/>
    <w:rsid w:val="00D04C38"/>
    <w:rsid w:val="00F85006"/>
    <w:rsid w:val="2DC43DAD"/>
    <w:rsid w:val="2FB47C5B"/>
    <w:rsid w:val="39F5113E"/>
    <w:rsid w:val="57DD086A"/>
    <w:rsid w:val="59D7D508"/>
    <w:rsid w:val="5F6C691B"/>
    <w:rsid w:val="7DBB576F"/>
    <w:rsid w:val="7FFFC3FE"/>
    <w:rsid w:val="9FDACE06"/>
    <w:rsid w:val="A1F595BC"/>
    <w:rsid w:val="D337A350"/>
    <w:rsid w:val="ECE5B4B3"/>
    <w:rsid w:val="ECF9D7D4"/>
    <w:rsid w:val="FACB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0D5A3"/>
  <w15:docId w15:val="{1E29727F-E4F5-41C6-8B22-6075922E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customStyle="1" w:styleId="Revision1">
    <w:name w:val="Revision1"/>
    <w:hidden/>
    <w:uiPriority w:val="99"/>
    <w:unhideWhenUsed/>
    <w:qFormat/>
    <w:rPr>
      <w:rFonts w:asciiTheme="minorHAnsi" w:eastAsiaTheme="minorEastAsia" w:hAnsiTheme="minorHAnsi" w:cstheme="minorBidi"/>
      <w:sz w:val="21"/>
      <w:szCs w:val="22"/>
      <w:lang w:val="en-US" w:eastAsia="zh-CN"/>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026B2D-A406-4F6B-B1FD-8C1B3192F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72A62-BC4A-4EB0-93DC-D7E79B4108EC}">
  <ds:schemaRefs>
    <ds:schemaRef ds:uri="http://schemas.microsoft.com/sharepoint/v3/contenttype/forms"/>
  </ds:schemaRefs>
</ds:datastoreItem>
</file>

<file path=customXml/itemProps3.xml><?xml version="1.0" encoding="utf-8"?>
<ds:datastoreItem xmlns:ds="http://schemas.openxmlformats.org/officeDocument/2006/customXml" ds:itemID="{61AF2C35-AAA4-421E-9CD9-8EFB9D9B6344}">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1956</Characters>
  <Application>Microsoft Office Word</Application>
  <DocSecurity>0</DocSecurity>
  <Lines>37</Lines>
  <Paragraphs>6</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yangmam</dc:creator>
  <cp:lastModifiedBy>Tanya Yandall</cp:lastModifiedBy>
  <cp:revision>3</cp:revision>
  <dcterms:created xsi:type="dcterms:W3CDTF">2026-02-17T22:41:00Z</dcterms:created>
  <dcterms:modified xsi:type="dcterms:W3CDTF">2026-02-17T22:42:00Z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ICV">
    <vt:lpwstr>610E82AEEB230610FA348C697736DCCA_41</vt:lpwstr>
  </property>
  <property fmtid="{D5CDD505-2E9C-101B-9397-08002B2CF9AE}" pid="4" name="ContentTypeId">
    <vt:lpwstr>0x01010004DB0B76CE105D459F58063C0D0B3831</vt:lpwstr>
  </property>
  <property fmtid="{D5CDD505-2E9C-101B-9397-08002B2CF9AE}" pid="5" name="MediaServiceImageTags">
    <vt:lpwstr/>
  </property>
</Properties>
</file>