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8BF32" w14:textId="77777777" w:rsidR="00442E92" w:rsidRDefault="00442E92"/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9"/>
      </w:tblGrid>
      <w:tr w:rsidR="001564A4" w:rsidRPr="0050053A" w14:paraId="5C38377B" w14:textId="77777777" w:rsidTr="00C9170F">
        <w:trPr>
          <w:jc w:val="center"/>
        </w:trPr>
        <w:tc>
          <w:tcPr>
            <w:tcW w:w="9209" w:type="dxa"/>
            <w:shd w:val="clear" w:color="auto" w:fill="auto"/>
          </w:tcPr>
          <w:p w14:paraId="5C44F357" w14:textId="69336801" w:rsidR="00CE614B" w:rsidRPr="0050053A" w:rsidRDefault="00E32A7E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COVID-19-associated lung injury</w:t>
            </w:r>
            <w:r w:rsidR="005D1DA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8325F5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evolution</w:t>
            </w:r>
            <w:r w:rsidR="00EA2E8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="00B96D9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characterised by significant immune cytometric flux</w:t>
            </w:r>
            <w:r w:rsidR="00235F2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.</w:t>
            </w:r>
          </w:p>
        </w:tc>
      </w:tr>
      <w:tr w:rsidR="001564A4" w:rsidRPr="0050053A" w14:paraId="0E2E035C" w14:textId="77777777" w:rsidTr="00C9170F">
        <w:trPr>
          <w:jc w:val="center"/>
        </w:trPr>
        <w:tc>
          <w:tcPr>
            <w:tcW w:w="9209" w:type="dxa"/>
            <w:shd w:val="clear" w:color="auto" w:fill="auto"/>
          </w:tcPr>
          <w:p w14:paraId="73B55295" w14:textId="533B6898" w:rsidR="001564A4" w:rsidRPr="009718B1" w:rsidRDefault="009718B1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9718B1">
              <w:rPr>
                <w:rFonts w:ascii="Arial" w:hAnsi="Arial" w:cs="Arial"/>
                <w:sz w:val="22"/>
              </w:rPr>
              <w:t>Luke Milross MD</w:t>
            </w:r>
            <w:r w:rsidRPr="009718B1">
              <w:rPr>
                <w:rFonts w:ascii="Arial" w:hAnsi="Arial" w:cs="Arial"/>
                <w:sz w:val="22"/>
                <w:vertAlign w:val="superscript"/>
              </w:rPr>
              <w:t>1</w:t>
            </w:r>
            <w:r w:rsidRPr="009718B1">
              <w:rPr>
                <w:rFonts w:ascii="Arial" w:hAnsi="Arial" w:cs="Arial"/>
                <w:sz w:val="22"/>
              </w:rPr>
              <w:t>, Bethany Hunter BSc MRes</w:t>
            </w:r>
            <w:r w:rsidRPr="009718B1">
              <w:rPr>
                <w:rFonts w:ascii="Arial" w:hAnsi="Arial" w:cs="Arial"/>
                <w:sz w:val="22"/>
                <w:vertAlign w:val="superscript"/>
              </w:rPr>
              <w:t>2</w:t>
            </w:r>
            <w:r w:rsidRPr="009718B1">
              <w:rPr>
                <w:rFonts w:ascii="Arial" w:hAnsi="Arial" w:cs="Arial"/>
                <w:sz w:val="22"/>
              </w:rPr>
              <w:t>, Gillian Hulme PhD</w:t>
            </w:r>
            <w:r w:rsidRPr="009718B1">
              <w:rPr>
                <w:rFonts w:ascii="Arial" w:hAnsi="Arial" w:cs="Arial"/>
                <w:sz w:val="22"/>
                <w:vertAlign w:val="superscript"/>
              </w:rPr>
              <w:t>2</w:t>
            </w:r>
            <w:r w:rsidRPr="009718B1">
              <w:rPr>
                <w:rFonts w:ascii="Arial" w:hAnsi="Arial" w:cs="Arial"/>
                <w:sz w:val="22"/>
              </w:rPr>
              <w:t>, Kasim Jiwa BSc (Hons)</w:t>
            </w:r>
            <w:r w:rsidRPr="009718B1">
              <w:rPr>
                <w:rFonts w:ascii="Arial" w:hAnsi="Arial" w:cs="Arial"/>
                <w:sz w:val="22"/>
                <w:vertAlign w:val="superscript"/>
              </w:rPr>
              <w:t>3</w:t>
            </w:r>
            <w:r w:rsidRPr="009718B1">
              <w:rPr>
                <w:rFonts w:ascii="Arial" w:hAnsi="Arial" w:cs="Arial"/>
                <w:sz w:val="22"/>
              </w:rPr>
              <w:t>, Joaquim Majo PhD</w:t>
            </w:r>
            <w:r w:rsidRPr="009718B1">
              <w:rPr>
                <w:rFonts w:ascii="Arial" w:hAnsi="Arial" w:cs="Arial"/>
                <w:sz w:val="22"/>
                <w:vertAlign w:val="superscript"/>
              </w:rPr>
              <w:t>4</w:t>
            </w:r>
            <w:r w:rsidRPr="009718B1">
              <w:rPr>
                <w:rFonts w:ascii="Arial" w:hAnsi="Arial" w:cs="Arial"/>
                <w:sz w:val="22"/>
              </w:rPr>
              <w:t>, David McDonald PhD</w:t>
            </w:r>
            <w:r w:rsidRPr="009718B1">
              <w:rPr>
                <w:rFonts w:ascii="Arial" w:hAnsi="Arial" w:cs="Arial"/>
                <w:sz w:val="22"/>
                <w:vertAlign w:val="superscript"/>
              </w:rPr>
              <w:t>2</w:t>
            </w:r>
            <w:r w:rsidRPr="009718B1">
              <w:rPr>
                <w:rFonts w:ascii="Arial" w:hAnsi="Arial" w:cs="Arial"/>
                <w:sz w:val="22"/>
              </w:rPr>
              <w:t>, George Merces</w:t>
            </w:r>
            <w:r w:rsidRPr="009718B1">
              <w:rPr>
                <w:rFonts w:ascii="Arial" w:hAnsi="Arial" w:cs="Arial"/>
                <w:sz w:val="22"/>
                <w:vertAlign w:val="superscript"/>
              </w:rPr>
              <w:t>2</w:t>
            </w:r>
            <w:r w:rsidRPr="009718B1">
              <w:rPr>
                <w:rFonts w:ascii="Arial" w:hAnsi="Arial" w:cs="Arial"/>
                <w:sz w:val="22"/>
              </w:rPr>
              <w:t>, Paul Rees PhD</w:t>
            </w:r>
            <w:r w:rsidRPr="009718B1">
              <w:rPr>
                <w:rFonts w:ascii="Arial" w:hAnsi="Arial" w:cs="Arial"/>
                <w:sz w:val="22"/>
                <w:vertAlign w:val="superscript"/>
              </w:rPr>
              <w:t>5,6</w:t>
            </w:r>
            <w:r w:rsidRPr="009718B1">
              <w:rPr>
                <w:rFonts w:ascii="Arial" w:hAnsi="Arial" w:cs="Arial"/>
                <w:sz w:val="22"/>
              </w:rPr>
              <w:t>, John Wills PhD</w:t>
            </w:r>
            <w:r w:rsidRPr="009718B1">
              <w:rPr>
                <w:rFonts w:ascii="Arial" w:hAnsi="Arial" w:cs="Arial"/>
                <w:sz w:val="22"/>
                <w:vertAlign w:val="superscript"/>
              </w:rPr>
              <w:t>7</w:t>
            </w:r>
            <w:r w:rsidRPr="009718B1">
              <w:rPr>
                <w:rFonts w:ascii="Arial" w:hAnsi="Arial" w:cs="Arial"/>
                <w:sz w:val="22"/>
              </w:rPr>
              <w:t>, Andrew Filby PhD</w:t>
            </w:r>
            <w:r w:rsidRPr="009718B1">
              <w:rPr>
                <w:rFonts w:ascii="Arial" w:hAnsi="Arial" w:cs="Arial"/>
                <w:sz w:val="22"/>
                <w:vertAlign w:val="superscript"/>
              </w:rPr>
              <w:t>2</w:t>
            </w:r>
            <w:r w:rsidRPr="009718B1">
              <w:rPr>
                <w:rFonts w:ascii="Arial" w:hAnsi="Arial" w:cs="Arial"/>
                <w:sz w:val="22"/>
              </w:rPr>
              <w:t xml:space="preserve"> and Andrew J. Fisher PhD FRCP</w:t>
            </w:r>
            <w:r w:rsidRPr="009718B1">
              <w:rPr>
                <w:rFonts w:ascii="Arial" w:hAnsi="Arial" w:cs="Arial"/>
                <w:sz w:val="22"/>
                <w:vertAlign w:val="superscript"/>
              </w:rPr>
              <w:t>1, 3</w:t>
            </w:r>
            <w:r w:rsidRPr="009718B1">
              <w:rPr>
                <w:rFonts w:ascii="Arial" w:hAnsi="Arial" w:cs="Arial"/>
                <w:sz w:val="22"/>
              </w:rPr>
              <w:t>.</w:t>
            </w:r>
          </w:p>
        </w:tc>
      </w:tr>
      <w:tr w:rsidR="001564A4" w:rsidRPr="0050053A" w14:paraId="385A19D9" w14:textId="77777777" w:rsidTr="00C9170F">
        <w:trPr>
          <w:trHeight w:val="136"/>
          <w:jc w:val="center"/>
        </w:trPr>
        <w:tc>
          <w:tcPr>
            <w:tcW w:w="9209" w:type="dxa"/>
            <w:shd w:val="clear" w:color="auto" w:fill="auto"/>
          </w:tcPr>
          <w:p w14:paraId="24E44A2D" w14:textId="51EF0B8C" w:rsidR="00953138" w:rsidRPr="00953138" w:rsidRDefault="00953138" w:rsidP="00953138">
            <w:pPr>
              <w:rPr>
                <w:rFonts w:ascii="Arial" w:hAnsi="Arial" w:cs="Arial"/>
                <w:sz w:val="22"/>
                <w:szCs w:val="22"/>
                <w:lang w:bidi="en-US"/>
              </w:rPr>
            </w:pPr>
            <w:r w:rsidRPr="00953138">
              <w:rPr>
                <w:rFonts w:ascii="Arial" w:hAnsi="Arial" w:cs="Arial"/>
                <w:sz w:val="22"/>
                <w:szCs w:val="22"/>
                <w:vertAlign w:val="superscript"/>
                <w:lang w:bidi="en-US"/>
              </w:rPr>
              <w:t>1</w:t>
            </w:r>
            <w:r w:rsidRPr="00953138">
              <w:rPr>
                <w:rFonts w:ascii="Arial" w:hAnsi="Arial" w:cs="Arial"/>
                <w:sz w:val="22"/>
                <w:szCs w:val="22"/>
                <w:lang w:bidi="en-US"/>
              </w:rPr>
              <w:t>Newcastle University Translational and Clinical Research Institute, Newcastle upon Tyne, UK</w:t>
            </w:r>
          </w:p>
          <w:p w14:paraId="64FE7072" w14:textId="77777777" w:rsidR="00953138" w:rsidRPr="00953138" w:rsidRDefault="00953138" w:rsidP="00953138">
            <w:pPr>
              <w:rPr>
                <w:rFonts w:ascii="Arial" w:hAnsi="Arial" w:cs="Arial"/>
                <w:sz w:val="22"/>
                <w:szCs w:val="22"/>
                <w:lang w:bidi="en-US"/>
              </w:rPr>
            </w:pPr>
            <w:r w:rsidRPr="00953138">
              <w:rPr>
                <w:rFonts w:ascii="Arial" w:hAnsi="Arial" w:cs="Arial"/>
                <w:sz w:val="22"/>
                <w:szCs w:val="22"/>
                <w:vertAlign w:val="superscript"/>
                <w:lang w:bidi="en-US"/>
              </w:rPr>
              <w:t>2</w:t>
            </w:r>
            <w:r w:rsidRPr="00953138">
              <w:rPr>
                <w:rFonts w:ascii="Arial" w:hAnsi="Arial" w:cs="Arial"/>
                <w:sz w:val="22"/>
                <w:szCs w:val="22"/>
                <w:lang w:bidi="en-US"/>
              </w:rPr>
              <w:t>Innovation Methodology and Application Research Theme, Biosciences Institute, Newcastle University, Newcastle upon Tyne, UK</w:t>
            </w:r>
            <w:r w:rsidRPr="00953138">
              <w:rPr>
                <w:rFonts w:ascii="Arial" w:hAnsi="Arial" w:cs="Arial"/>
                <w:sz w:val="22"/>
                <w:szCs w:val="22"/>
                <w:vertAlign w:val="superscript"/>
                <w:lang w:bidi="en-US"/>
              </w:rPr>
              <w:t xml:space="preserve"> </w:t>
            </w:r>
          </w:p>
          <w:p w14:paraId="102CA5ED" w14:textId="77777777" w:rsidR="00953138" w:rsidRPr="00953138" w:rsidRDefault="00953138" w:rsidP="00953138">
            <w:pPr>
              <w:rPr>
                <w:rFonts w:ascii="Arial" w:hAnsi="Arial" w:cs="Arial"/>
                <w:sz w:val="22"/>
                <w:szCs w:val="22"/>
                <w:lang w:bidi="en-US"/>
              </w:rPr>
            </w:pPr>
            <w:r w:rsidRPr="00953138">
              <w:rPr>
                <w:rFonts w:ascii="Arial" w:hAnsi="Arial" w:cs="Arial"/>
                <w:sz w:val="22"/>
                <w:szCs w:val="22"/>
                <w:vertAlign w:val="superscript"/>
                <w:lang w:bidi="en-US"/>
              </w:rPr>
              <w:t>3</w:t>
            </w:r>
            <w:r w:rsidRPr="00953138">
              <w:rPr>
                <w:rFonts w:ascii="Arial" w:hAnsi="Arial" w:cs="Arial"/>
                <w:sz w:val="22"/>
                <w:szCs w:val="22"/>
                <w:lang w:bidi="en-US"/>
              </w:rPr>
              <w:t>Institute of Transplantation, Newcastle upon Tyne Hospitals NHS Foundation Trust, Newcastle upon Tyne, UK</w:t>
            </w:r>
          </w:p>
          <w:p w14:paraId="1BE626C7" w14:textId="77777777" w:rsidR="00953138" w:rsidRPr="00953138" w:rsidRDefault="00953138" w:rsidP="00953138">
            <w:pPr>
              <w:rPr>
                <w:rFonts w:ascii="Arial" w:hAnsi="Arial" w:cs="Arial"/>
                <w:sz w:val="22"/>
                <w:szCs w:val="22"/>
                <w:lang w:bidi="en-US"/>
              </w:rPr>
            </w:pPr>
            <w:r w:rsidRPr="00953138">
              <w:rPr>
                <w:rFonts w:ascii="Arial" w:hAnsi="Arial" w:cs="Arial"/>
                <w:sz w:val="22"/>
                <w:szCs w:val="22"/>
                <w:vertAlign w:val="superscript"/>
                <w:lang w:bidi="en-US"/>
              </w:rPr>
              <w:t>4</w:t>
            </w:r>
            <w:r w:rsidRPr="00953138">
              <w:rPr>
                <w:rFonts w:ascii="Arial" w:hAnsi="Arial" w:cs="Arial"/>
                <w:sz w:val="22"/>
                <w:szCs w:val="22"/>
                <w:lang w:bidi="en-US"/>
              </w:rPr>
              <w:t>Department of Cellular Pathology, Newcastle upon Tyne Hospitals NHS Foundation Trust, Newcastle upon Tyne, UK</w:t>
            </w:r>
          </w:p>
          <w:p w14:paraId="676A642D" w14:textId="77777777" w:rsidR="00953138" w:rsidRPr="00953138" w:rsidRDefault="00953138" w:rsidP="00953138">
            <w:pPr>
              <w:rPr>
                <w:rFonts w:ascii="Arial" w:hAnsi="Arial" w:cs="Arial"/>
                <w:sz w:val="22"/>
                <w:szCs w:val="22"/>
                <w:lang w:bidi="en-US"/>
              </w:rPr>
            </w:pPr>
            <w:r w:rsidRPr="00953138">
              <w:rPr>
                <w:rFonts w:ascii="Arial" w:hAnsi="Arial" w:cs="Arial"/>
                <w:sz w:val="22"/>
                <w:szCs w:val="22"/>
                <w:vertAlign w:val="superscript"/>
                <w:lang w:bidi="en-US"/>
              </w:rPr>
              <w:t>5</w:t>
            </w:r>
            <w:r w:rsidRPr="00953138">
              <w:rPr>
                <w:rFonts w:ascii="Arial" w:hAnsi="Arial" w:cs="Arial"/>
                <w:sz w:val="22"/>
                <w:szCs w:val="22"/>
                <w:lang w:bidi="en-US"/>
              </w:rPr>
              <w:t>School of Engineering and Applied Sciences, Swansea University, UK</w:t>
            </w:r>
          </w:p>
          <w:p w14:paraId="779201EA" w14:textId="77777777" w:rsidR="00953138" w:rsidRPr="00953138" w:rsidRDefault="00953138" w:rsidP="00953138">
            <w:pPr>
              <w:rPr>
                <w:rFonts w:ascii="Arial" w:hAnsi="Arial" w:cs="Arial"/>
                <w:sz w:val="22"/>
                <w:szCs w:val="22"/>
                <w:lang w:bidi="en-US"/>
              </w:rPr>
            </w:pPr>
            <w:r w:rsidRPr="00953138">
              <w:rPr>
                <w:rFonts w:ascii="Arial" w:hAnsi="Arial" w:cs="Arial"/>
                <w:sz w:val="22"/>
                <w:szCs w:val="22"/>
                <w:vertAlign w:val="superscript"/>
                <w:lang w:bidi="en-US"/>
              </w:rPr>
              <w:t>6</w:t>
            </w:r>
            <w:r w:rsidRPr="00953138">
              <w:rPr>
                <w:rFonts w:ascii="Arial" w:hAnsi="Arial" w:cs="Arial"/>
                <w:sz w:val="22"/>
                <w:szCs w:val="22"/>
                <w:lang w:bidi="en-US"/>
              </w:rPr>
              <w:t>Broad Institute of MIT and Harvard, Cambridge, Massachusetts, USA</w:t>
            </w:r>
          </w:p>
          <w:p w14:paraId="45ED36BF" w14:textId="4B0B3FEA" w:rsidR="00953138" w:rsidRPr="00B70819" w:rsidRDefault="00953138" w:rsidP="00953138">
            <w:pPr>
              <w:rPr>
                <w:rFonts w:ascii="Arial" w:hAnsi="Arial" w:cs="Arial"/>
                <w:sz w:val="22"/>
                <w:szCs w:val="22"/>
                <w:lang w:bidi="en-US"/>
              </w:rPr>
            </w:pPr>
            <w:r w:rsidRPr="00953138">
              <w:rPr>
                <w:rFonts w:ascii="Arial" w:hAnsi="Arial" w:cs="Arial"/>
                <w:sz w:val="22"/>
                <w:szCs w:val="22"/>
                <w:vertAlign w:val="superscript"/>
                <w:lang w:bidi="en-US"/>
              </w:rPr>
              <w:t>7</w:t>
            </w:r>
            <w:r w:rsidRPr="00953138">
              <w:rPr>
                <w:rFonts w:ascii="Arial" w:hAnsi="Arial" w:cs="Arial"/>
                <w:sz w:val="22"/>
                <w:szCs w:val="22"/>
                <w:lang w:bidi="en-US"/>
              </w:rPr>
              <w:t>Cambridge University Department of Veterinary Medicine, School of Biological Sciences, Cambridge, UK</w:t>
            </w:r>
          </w:p>
        </w:tc>
      </w:tr>
      <w:tr w:rsidR="001564A4" w:rsidRPr="0050053A" w14:paraId="6DAF615A" w14:textId="77777777" w:rsidTr="00C9170F">
        <w:trPr>
          <w:trHeight w:hRule="exact" w:val="8283"/>
          <w:jc w:val="center"/>
        </w:trPr>
        <w:tc>
          <w:tcPr>
            <w:tcW w:w="9209" w:type="dxa"/>
            <w:shd w:val="clear" w:color="auto" w:fill="auto"/>
          </w:tcPr>
          <w:p w14:paraId="2251F6D5" w14:textId="373811C5" w:rsidR="001564A4" w:rsidRPr="00C9170F" w:rsidRDefault="001564A4" w:rsidP="000A28E2">
            <w:pPr>
              <w:pStyle w:val="Pa12"/>
              <w:rPr>
                <w:sz w:val="22"/>
                <w:szCs w:val="22"/>
              </w:rPr>
            </w:pPr>
            <w:r w:rsidRPr="00C9170F">
              <w:rPr>
                <w:rStyle w:val="A4"/>
                <w:b/>
                <w:bCs/>
              </w:rPr>
              <w:t xml:space="preserve">Introduction/Aim: </w:t>
            </w:r>
            <w:r w:rsidR="0059157D" w:rsidRPr="00C9170F">
              <w:rPr>
                <w:sz w:val="22"/>
                <w:szCs w:val="22"/>
              </w:rPr>
              <w:t xml:space="preserve">Diffuse Alveolar Damage (DAD) is the dominant histological manifestation of </w:t>
            </w:r>
            <w:r w:rsidR="0059157D" w:rsidRPr="00C9170F">
              <w:rPr>
                <w:bCs/>
                <w:sz w:val="22"/>
                <w:szCs w:val="22"/>
                <w:lang w:bidi="en-US"/>
              </w:rPr>
              <w:t>severe COVID-19 in the lungs</w:t>
            </w:r>
            <w:r w:rsidR="002440BB" w:rsidRPr="00C9170F">
              <w:rPr>
                <w:bCs/>
                <w:sz w:val="22"/>
                <w:szCs w:val="22"/>
                <w:lang w:bidi="en-US"/>
              </w:rPr>
              <w:t>. SARS-CoV-2</w:t>
            </w:r>
            <w:r w:rsidR="001B7B92">
              <w:rPr>
                <w:bCs/>
                <w:sz w:val="22"/>
                <w:szCs w:val="22"/>
                <w:lang w:bidi="en-US"/>
              </w:rPr>
              <w:t xml:space="preserve"> can transform tissue f</w:t>
            </w:r>
            <w:r w:rsidR="002440BB" w:rsidRPr="00C9170F">
              <w:rPr>
                <w:bCs/>
                <w:sz w:val="22"/>
                <w:szCs w:val="22"/>
                <w:lang w:bidi="en-US"/>
              </w:rPr>
              <w:t>rom a preserved state</w:t>
            </w:r>
            <w:r w:rsidR="001B7B92">
              <w:rPr>
                <w:bCs/>
                <w:sz w:val="22"/>
                <w:szCs w:val="22"/>
                <w:lang w:bidi="en-US"/>
              </w:rPr>
              <w:t xml:space="preserve"> </w:t>
            </w:r>
            <w:r w:rsidR="002440BB" w:rsidRPr="00C9170F">
              <w:rPr>
                <w:bCs/>
                <w:sz w:val="22"/>
                <w:szCs w:val="22"/>
                <w:lang w:bidi="en-US"/>
              </w:rPr>
              <w:t xml:space="preserve">to </w:t>
            </w:r>
            <w:r w:rsidR="000205A3" w:rsidRPr="00C9170F">
              <w:rPr>
                <w:bCs/>
                <w:sz w:val="22"/>
                <w:szCs w:val="22"/>
                <w:lang w:bidi="en-US"/>
              </w:rPr>
              <w:t>an early exudative phase</w:t>
            </w:r>
            <w:r w:rsidR="00FB2F9C" w:rsidRPr="00C9170F">
              <w:rPr>
                <w:bCs/>
                <w:sz w:val="22"/>
                <w:szCs w:val="22"/>
                <w:lang w:bidi="en-US"/>
              </w:rPr>
              <w:t xml:space="preserve"> of DAD</w:t>
            </w:r>
            <w:r w:rsidR="000205A3" w:rsidRPr="00C9170F">
              <w:rPr>
                <w:bCs/>
                <w:sz w:val="22"/>
                <w:szCs w:val="22"/>
                <w:lang w:bidi="en-US"/>
              </w:rPr>
              <w:t xml:space="preserve"> </w:t>
            </w:r>
            <w:r w:rsidR="0036050A" w:rsidRPr="00C9170F">
              <w:rPr>
                <w:bCs/>
                <w:sz w:val="22"/>
                <w:szCs w:val="22"/>
                <w:lang w:bidi="en-US"/>
              </w:rPr>
              <w:t xml:space="preserve">(EDAD) </w:t>
            </w:r>
            <w:r w:rsidR="000205A3" w:rsidRPr="00C9170F">
              <w:rPr>
                <w:bCs/>
                <w:sz w:val="22"/>
                <w:szCs w:val="22"/>
                <w:lang w:bidi="en-US"/>
              </w:rPr>
              <w:t>and</w:t>
            </w:r>
            <w:r w:rsidR="001E08F1" w:rsidRPr="00C9170F">
              <w:rPr>
                <w:bCs/>
                <w:sz w:val="22"/>
                <w:szCs w:val="22"/>
                <w:lang w:bidi="en-US"/>
              </w:rPr>
              <w:t xml:space="preserve"> later</w:t>
            </w:r>
            <w:r w:rsidR="0036050A" w:rsidRPr="00C9170F">
              <w:rPr>
                <w:bCs/>
                <w:sz w:val="22"/>
                <w:szCs w:val="22"/>
                <w:lang w:bidi="en-US"/>
              </w:rPr>
              <w:t xml:space="preserve"> a proliferative and organising phase (ODAD). </w:t>
            </w:r>
            <w:r w:rsidR="004517F7" w:rsidRPr="00C9170F">
              <w:rPr>
                <w:bCs/>
                <w:sz w:val="22"/>
                <w:szCs w:val="22"/>
                <w:lang w:bidi="en-US"/>
              </w:rPr>
              <w:t xml:space="preserve">Few </w:t>
            </w:r>
            <w:r w:rsidR="00AF2D17" w:rsidRPr="00C9170F">
              <w:rPr>
                <w:bCs/>
                <w:sz w:val="22"/>
                <w:szCs w:val="22"/>
                <w:lang w:bidi="en-US"/>
              </w:rPr>
              <w:t xml:space="preserve">analyses </w:t>
            </w:r>
            <w:r w:rsidR="00FB2F9C" w:rsidRPr="00C9170F">
              <w:rPr>
                <w:bCs/>
                <w:sz w:val="22"/>
                <w:szCs w:val="22"/>
                <w:lang w:bidi="en-US"/>
              </w:rPr>
              <w:t xml:space="preserve">directly </w:t>
            </w:r>
            <w:r w:rsidR="003E0571" w:rsidRPr="00C9170F">
              <w:rPr>
                <w:bCs/>
                <w:sz w:val="22"/>
                <w:szCs w:val="22"/>
                <w:lang w:bidi="en-US"/>
              </w:rPr>
              <w:t>compar</w:t>
            </w:r>
            <w:r w:rsidR="004517F7" w:rsidRPr="00C9170F">
              <w:rPr>
                <w:bCs/>
                <w:sz w:val="22"/>
                <w:szCs w:val="22"/>
                <w:lang w:bidi="en-US"/>
              </w:rPr>
              <w:t>e</w:t>
            </w:r>
            <w:r w:rsidR="00AF2D17" w:rsidRPr="00C9170F">
              <w:rPr>
                <w:bCs/>
                <w:sz w:val="22"/>
                <w:szCs w:val="22"/>
                <w:lang w:bidi="en-US"/>
              </w:rPr>
              <w:t xml:space="preserve"> immune cell infiltration </w:t>
            </w:r>
            <w:r w:rsidR="001D26F3" w:rsidRPr="00C9170F">
              <w:rPr>
                <w:bCs/>
                <w:sz w:val="22"/>
                <w:szCs w:val="22"/>
                <w:lang w:bidi="en-US"/>
              </w:rPr>
              <w:t>and interactions</w:t>
            </w:r>
            <w:r w:rsidR="0003587C" w:rsidRPr="00C9170F">
              <w:rPr>
                <w:bCs/>
                <w:sz w:val="22"/>
                <w:szCs w:val="22"/>
                <w:lang w:bidi="en-US"/>
              </w:rPr>
              <w:t xml:space="preserve"> between </w:t>
            </w:r>
            <w:r w:rsidR="005B3712" w:rsidRPr="00C9170F">
              <w:rPr>
                <w:bCs/>
                <w:sz w:val="22"/>
                <w:szCs w:val="22"/>
                <w:lang w:bidi="en-US"/>
              </w:rPr>
              <w:t xml:space="preserve">these </w:t>
            </w:r>
            <w:r w:rsidR="00AF2D17" w:rsidRPr="00C9170F">
              <w:rPr>
                <w:bCs/>
                <w:sz w:val="22"/>
                <w:szCs w:val="22"/>
                <w:lang w:bidi="en-US"/>
              </w:rPr>
              <w:t>discrete phases</w:t>
            </w:r>
            <w:r w:rsidR="0059157D" w:rsidRPr="00C9170F">
              <w:rPr>
                <w:bCs/>
                <w:sz w:val="22"/>
                <w:szCs w:val="22"/>
                <w:lang w:bidi="en-US"/>
              </w:rPr>
              <w:t>.</w:t>
            </w:r>
            <w:r w:rsidR="0014026E" w:rsidRPr="00C9170F">
              <w:rPr>
                <w:bCs/>
                <w:sz w:val="22"/>
                <w:szCs w:val="22"/>
                <w:lang w:bidi="en-US"/>
              </w:rPr>
              <w:t xml:space="preserve"> We aimed to determine </w:t>
            </w:r>
            <w:r w:rsidR="005E0B07" w:rsidRPr="00C9170F">
              <w:rPr>
                <w:bCs/>
                <w:sz w:val="22"/>
                <w:szCs w:val="22"/>
                <w:lang w:bidi="en-US"/>
              </w:rPr>
              <w:t>the degree of flux in immune cell subset representation and interactions</w:t>
            </w:r>
            <w:r w:rsidR="003F7E2F" w:rsidRPr="00C9170F">
              <w:rPr>
                <w:bCs/>
                <w:sz w:val="22"/>
                <w:szCs w:val="22"/>
                <w:lang w:bidi="en-US"/>
              </w:rPr>
              <w:t xml:space="preserve"> as DAD evolved. </w:t>
            </w:r>
          </w:p>
          <w:p w14:paraId="3D770CF7" w14:textId="77777777" w:rsidR="001564A4" w:rsidRPr="00C9170F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770F7F04" w14:textId="77777777" w:rsidR="0007253B" w:rsidRPr="00C9170F" w:rsidRDefault="001564A4" w:rsidP="0007253B">
            <w:pPr>
              <w:rPr>
                <w:rFonts w:ascii="Arial" w:hAnsi="Arial" w:cs="Arial"/>
                <w:bCs/>
                <w:sz w:val="22"/>
                <w:szCs w:val="22"/>
                <w:lang w:bidi="en-US"/>
              </w:rPr>
            </w:pPr>
            <w:r w:rsidRPr="00C9170F">
              <w:rPr>
                <w:rStyle w:val="A4"/>
                <w:rFonts w:ascii="Arial" w:hAnsi="Arial" w:cs="Arial"/>
                <w:b/>
                <w:bCs/>
              </w:rPr>
              <w:t xml:space="preserve">Methods: </w:t>
            </w:r>
            <w:r w:rsidR="0007253B" w:rsidRPr="00C9170F">
              <w:rPr>
                <w:rFonts w:ascii="Arial" w:hAnsi="Arial" w:cs="Arial"/>
                <w:sz w:val="22"/>
                <w:szCs w:val="22"/>
              </w:rPr>
              <w:t>L</w:t>
            </w:r>
            <w:r w:rsidR="0007253B" w:rsidRPr="00C9170F">
              <w:rPr>
                <w:rFonts w:ascii="Arial" w:hAnsi="Arial" w:cs="Arial"/>
                <w:bCs/>
                <w:sz w:val="22"/>
                <w:szCs w:val="22"/>
                <w:lang w:bidi="en-US"/>
              </w:rPr>
              <w:t>ung tissue was obtained from patients who died from COVID-19. Pathologist-selected 500µm</w:t>
            </w:r>
            <w:r w:rsidR="0007253B" w:rsidRPr="00C9170F">
              <w:rPr>
                <w:rFonts w:ascii="Arial" w:hAnsi="Arial" w:cs="Arial"/>
                <w:bCs/>
                <w:sz w:val="22"/>
                <w:szCs w:val="22"/>
                <w:vertAlign w:val="superscript"/>
                <w:lang w:bidi="en-US"/>
              </w:rPr>
              <w:t xml:space="preserve">2 </w:t>
            </w:r>
            <w:r w:rsidR="0007253B" w:rsidRPr="00C9170F">
              <w:rPr>
                <w:rFonts w:ascii="Arial" w:hAnsi="Arial" w:cs="Arial"/>
                <w:bCs/>
                <w:sz w:val="22"/>
                <w:szCs w:val="22"/>
                <w:lang w:bidi="en-US"/>
              </w:rPr>
              <w:t xml:space="preserve">regions of interest (ROIs) were classified as exudative DAD (EDAD) or organising (ODAD) by light microscopy. ROIs free of DAD from SARS-CoV-2-negative donors and positive patients served as controls. ROIs were stained with 40 immune, </w:t>
            </w:r>
            <w:proofErr w:type="gramStart"/>
            <w:r w:rsidR="0007253B" w:rsidRPr="00C9170F">
              <w:rPr>
                <w:rFonts w:ascii="Arial" w:hAnsi="Arial" w:cs="Arial"/>
                <w:bCs/>
                <w:sz w:val="22"/>
                <w:szCs w:val="22"/>
                <w:lang w:bidi="en-US"/>
              </w:rPr>
              <w:t>functional</w:t>
            </w:r>
            <w:proofErr w:type="gramEnd"/>
            <w:r w:rsidR="0007253B" w:rsidRPr="00C9170F">
              <w:rPr>
                <w:rFonts w:ascii="Arial" w:hAnsi="Arial" w:cs="Arial"/>
                <w:bCs/>
                <w:sz w:val="22"/>
                <w:szCs w:val="22"/>
                <w:lang w:bidi="en-US"/>
              </w:rPr>
              <w:t xml:space="preserve"> and stromal markers and ablated using imaging mass cytometry. Segmented cells were classified by </w:t>
            </w:r>
            <w:proofErr w:type="spellStart"/>
            <w:r w:rsidR="0007253B" w:rsidRPr="00C9170F">
              <w:rPr>
                <w:rFonts w:ascii="Arial" w:hAnsi="Arial" w:cs="Arial"/>
                <w:bCs/>
                <w:sz w:val="22"/>
                <w:szCs w:val="22"/>
                <w:lang w:bidi="en-US"/>
              </w:rPr>
              <w:t>FlowSOM</w:t>
            </w:r>
            <w:proofErr w:type="spellEnd"/>
            <w:r w:rsidR="0007253B" w:rsidRPr="00C9170F">
              <w:rPr>
                <w:rFonts w:ascii="Arial" w:hAnsi="Arial" w:cs="Arial"/>
                <w:bCs/>
                <w:sz w:val="22"/>
                <w:szCs w:val="22"/>
                <w:lang w:bidi="en-US"/>
              </w:rPr>
              <w:t xml:space="preserve"> clustering. Cell populations and spatial relationships were compared between ROI classes to look for characterising cellular signatures. </w:t>
            </w:r>
          </w:p>
          <w:p w14:paraId="5029BAE6" w14:textId="545FC451" w:rsidR="001564A4" w:rsidRPr="00C9170F" w:rsidRDefault="001564A4" w:rsidP="000A28E2">
            <w:pPr>
              <w:pStyle w:val="Pa12"/>
              <w:rPr>
                <w:rStyle w:val="A4"/>
                <w:color w:val="auto"/>
              </w:rPr>
            </w:pPr>
          </w:p>
          <w:p w14:paraId="473C3BE6" w14:textId="7308DF20" w:rsidR="003B073E" w:rsidRPr="00C9170F" w:rsidRDefault="001564A4" w:rsidP="000A28E2">
            <w:pPr>
              <w:pStyle w:val="Pa12"/>
              <w:rPr>
                <w:bCs/>
                <w:sz w:val="22"/>
                <w:szCs w:val="22"/>
                <w:lang w:bidi="en-US"/>
              </w:rPr>
            </w:pPr>
            <w:r w:rsidRPr="00C9170F">
              <w:rPr>
                <w:rStyle w:val="A4"/>
                <w:b/>
                <w:bCs/>
              </w:rPr>
              <w:t xml:space="preserve">Results: </w:t>
            </w:r>
            <w:r w:rsidR="00F14B1B" w:rsidRPr="00C9170F">
              <w:rPr>
                <w:bCs/>
                <w:sz w:val="22"/>
                <w:szCs w:val="22"/>
                <w:lang w:bidi="en-US"/>
              </w:rPr>
              <w:t xml:space="preserve">Forty patients (80% male, age 22-98), 345 ROIs and </w:t>
            </w:r>
            <w:r w:rsidR="00F14B1B" w:rsidRPr="00C9170F">
              <w:rPr>
                <w:color w:val="202124"/>
                <w:sz w:val="22"/>
                <w:szCs w:val="22"/>
                <w:shd w:val="clear" w:color="auto" w:fill="FFFFFF"/>
              </w:rPr>
              <w:t>&gt;</w:t>
            </w:r>
            <w:r w:rsidR="00F14B1B" w:rsidRPr="00C9170F">
              <w:rPr>
                <w:bCs/>
                <w:sz w:val="22"/>
                <w:szCs w:val="22"/>
                <w:lang w:bidi="en-US"/>
              </w:rPr>
              <w:t>900k single cells were analysed.</w:t>
            </w:r>
            <w:r w:rsidR="005959ED" w:rsidRPr="00C9170F">
              <w:rPr>
                <w:bCs/>
                <w:sz w:val="22"/>
                <w:szCs w:val="22"/>
                <w:lang w:bidi="en-US"/>
              </w:rPr>
              <w:t xml:space="preserve"> DAD progression was marked by </w:t>
            </w:r>
            <w:r w:rsidR="00E667E3">
              <w:rPr>
                <w:bCs/>
                <w:sz w:val="22"/>
                <w:szCs w:val="22"/>
                <w:lang w:bidi="en-US"/>
              </w:rPr>
              <w:t xml:space="preserve">progressive and </w:t>
            </w:r>
            <w:r w:rsidR="005959ED" w:rsidRPr="00C9170F">
              <w:rPr>
                <w:bCs/>
                <w:sz w:val="22"/>
                <w:szCs w:val="22"/>
                <w:lang w:bidi="en-US"/>
              </w:rPr>
              <w:t>significant increases in mononuclear phagocytes, T and B lymphocytes.</w:t>
            </w:r>
            <w:r w:rsidR="00601CFA" w:rsidRPr="00C9170F">
              <w:rPr>
                <w:bCs/>
                <w:sz w:val="22"/>
                <w:szCs w:val="22"/>
                <w:lang w:bidi="en-US"/>
              </w:rPr>
              <w:t xml:space="preserve"> With respect to immune cell interactions, </w:t>
            </w:r>
            <w:r w:rsidR="00AF6F42" w:rsidRPr="00C9170F">
              <w:rPr>
                <w:bCs/>
                <w:sz w:val="22"/>
                <w:szCs w:val="22"/>
                <w:lang w:bidi="en-US"/>
              </w:rPr>
              <w:t>the most</w:t>
            </w:r>
            <w:r w:rsidR="005C4AA2" w:rsidRPr="00C9170F">
              <w:rPr>
                <w:bCs/>
                <w:sz w:val="22"/>
                <w:szCs w:val="22"/>
                <w:lang w:bidi="en-US"/>
              </w:rPr>
              <w:t xml:space="preserve"> </w:t>
            </w:r>
            <w:r w:rsidR="00601CFA" w:rsidRPr="00C9170F">
              <w:rPr>
                <w:bCs/>
                <w:sz w:val="22"/>
                <w:szCs w:val="22"/>
                <w:lang w:bidi="en-US"/>
              </w:rPr>
              <w:t>marked differences</w:t>
            </w:r>
            <w:r w:rsidR="003A3BCF" w:rsidRPr="00C9170F">
              <w:rPr>
                <w:bCs/>
                <w:sz w:val="22"/>
                <w:szCs w:val="22"/>
                <w:lang w:bidi="en-US"/>
              </w:rPr>
              <w:t xml:space="preserve"> </w:t>
            </w:r>
            <w:r w:rsidR="00435195" w:rsidRPr="00C9170F">
              <w:rPr>
                <w:bCs/>
                <w:sz w:val="22"/>
                <w:szCs w:val="22"/>
                <w:lang w:bidi="en-US"/>
              </w:rPr>
              <w:t>were observed</w:t>
            </w:r>
            <w:r w:rsidR="003A3BCF" w:rsidRPr="00C9170F">
              <w:rPr>
                <w:bCs/>
                <w:sz w:val="22"/>
                <w:szCs w:val="22"/>
                <w:lang w:bidi="en-US"/>
              </w:rPr>
              <w:t xml:space="preserve"> between SARS-CoV-2-negative and positive preserved tissue</w:t>
            </w:r>
            <w:r w:rsidR="00736DA6">
              <w:rPr>
                <w:bCs/>
                <w:sz w:val="22"/>
                <w:szCs w:val="22"/>
                <w:lang w:bidi="en-US"/>
              </w:rPr>
              <w:t xml:space="preserve"> areas</w:t>
            </w:r>
            <w:r w:rsidR="00C10B69" w:rsidRPr="00C9170F">
              <w:rPr>
                <w:bCs/>
                <w:sz w:val="22"/>
                <w:szCs w:val="22"/>
                <w:lang w:bidi="en-US"/>
              </w:rPr>
              <w:t>. Notabl</w:t>
            </w:r>
            <w:r w:rsidR="005C4AA2" w:rsidRPr="00C9170F">
              <w:rPr>
                <w:bCs/>
                <w:sz w:val="22"/>
                <w:szCs w:val="22"/>
                <w:lang w:bidi="en-US"/>
              </w:rPr>
              <w:t>y there were increased</w:t>
            </w:r>
            <w:r w:rsidR="008A61D1" w:rsidRPr="00C9170F">
              <w:rPr>
                <w:bCs/>
                <w:sz w:val="22"/>
                <w:szCs w:val="22"/>
                <w:lang w:bidi="en-US"/>
              </w:rPr>
              <w:t xml:space="preserve"> interactions</w:t>
            </w:r>
            <w:r w:rsidR="003A3BCF" w:rsidRPr="00C9170F">
              <w:rPr>
                <w:bCs/>
                <w:sz w:val="22"/>
                <w:szCs w:val="22"/>
                <w:lang w:bidi="en-US"/>
              </w:rPr>
              <w:t xml:space="preserve"> </w:t>
            </w:r>
            <w:r w:rsidR="005C4AA2" w:rsidRPr="00C9170F">
              <w:rPr>
                <w:bCs/>
                <w:sz w:val="22"/>
                <w:szCs w:val="22"/>
                <w:lang w:bidi="en-US"/>
              </w:rPr>
              <w:t>between</w:t>
            </w:r>
            <w:r w:rsidR="003B073E" w:rsidRPr="00C9170F">
              <w:rPr>
                <w:bCs/>
                <w:sz w:val="22"/>
                <w:szCs w:val="22"/>
                <w:lang w:bidi="en-US"/>
              </w:rPr>
              <w:t xml:space="preserve"> neutrophils with alveolar </w:t>
            </w:r>
            <w:r w:rsidR="00A7792C" w:rsidRPr="00C9170F">
              <w:rPr>
                <w:bCs/>
                <w:sz w:val="22"/>
                <w:szCs w:val="22"/>
                <w:lang w:bidi="en-US"/>
              </w:rPr>
              <w:t>type 2 cells</w:t>
            </w:r>
            <w:r w:rsidR="008A61D1" w:rsidRPr="00C9170F">
              <w:rPr>
                <w:bCs/>
                <w:sz w:val="22"/>
                <w:szCs w:val="22"/>
                <w:lang w:bidi="en-US"/>
              </w:rPr>
              <w:t xml:space="preserve"> which are the primary</w:t>
            </w:r>
            <w:r w:rsidR="00D40D24" w:rsidRPr="00C9170F">
              <w:rPr>
                <w:bCs/>
                <w:sz w:val="22"/>
                <w:szCs w:val="22"/>
                <w:lang w:bidi="en-US"/>
              </w:rPr>
              <w:t xml:space="preserve"> lung</w:t>
            </w:r>
            <w:r w:rsidR="008A61D1" w:rsidRPr="00C9170F">
              <w:rPr>
                <w:bCs/>
                <w:sz w:val="22"/>
                <w:szCs w:val="22"/>
                <w:lang w:bidi="en-US"/>
              </w:rPr>
              <w:t xml:space="preserve"> target of SARS-CoV-2</w:t>
            </w:r>
            <w:r w:rsidR="00B84BB2" w:rsidRPr="00C9170F">
              <w:rPr>
                <w:bCs/>
                <w:sz w:val="22"/>
                <w:szCs w:val="22"/>
                <w:lang w:bidi="en-US"/>
              </w:rPr>
              <w:t xml:space="preserve">, neutrophils with </w:t>
            </w:r>
            <w:r w:rsidR="002A0CF9" w:rsidRPr="00C9170F">
              <w:rPr>
                <w:bCs/>
                <w:sz w:val="22"/>
                <w:szCs w:val="22"/>
                <w:lang w:bidi="en-US"/>
              </w:rPr>
              <w:t xml:space="preserve">inflammatory </w:t>
            </w:r>
            <w:r w:rsidR="007D5D3E" w:rsidRPr="00C9170F">
              <w:rPr>
                <w:bCs/>
                <w:sz w:val="22"/>
                <w:szCs w:val="22"/>
                <w:lang w:bidi="en-US"/>
              </w:rPr>
              <w:t xml:space="preserve">mononuclear phagocytes </w:t>
            </w:r>
            <w:r w:rsidR="00336DC6" w:rsidRPr="00C9170F">
              <w:rPr>
                <w:bCs/>
                <w:sz w:val="22"/>
                <w:szCs w:val="22"/>
                <w:lang w:bidi="en-US"/>
              </w:rPr>
              <w:t>and</w:t>
            </w:r>
            <w:r w:rsidR="007D5D3E" w:rsidRPr="00C9170F">
              <w:rPr>
                <w:bCs/>
                <w:sz w:val="22"/>
                <w:szCs w:val="22"/>
                <w:lang w:bidi="en-US"/>
              </w:rPr>
              <w:t xml:space="preserve"> </w:t>
            </w:r>
            <w:r w:rsidR="00A51697" w:rsidRPr="00C9170F">
              <w:rPr>
                <w:bCs/>
                <w:sz w:val="22"/>
                <w:szCs w:val="22"/>
                <w:lang w:bidi="en-US"/>
              </w:rPr>
              <w:t xml:space="preserve">CD8+ </w:t>
            </w:r>
            <w:r w:rsidR="00135676" w:rsidRPr="00C9170F">
              <w:rPr>
                <w:bCs/>
                <w:sz w:val="22"/>
                <w:szCs w:val="22"/>
                <w:lang w:bidi="en-US"/>
              </w:rPr>
              <w:t xml:space="preserve">T lymphocytes </w:t>
            </w:r>
            <w:r w:rsidR="00A51697" w:rsidRPr="00C9170F">
              <w:rPr>
                <w:bCs/>
                <w:sz w:val="22"/>
                <w:szCs w:val="22"/>
                <w:lang w:bidi="en-US"/>
              </w:rPr>
              <w:t xml:space="preserve">with </w:t>
            </w:r>
            <w:r w:rsidR="0032729D" w:rsidRPr="00C9170F">
              <w:rPr>
                <w:bCs/>
                <w:sz w:val="22"/>
                <w:szCs w:val="22"/>
                <w:lang w:bidi="en-US"/>
              </w:rPr>
              <w:t>a repair subset of macrophages (CD206</w:t>
            </w:r>
            <w:r w:rsidR="0032729D" w:rsidRPr="00C9170F">
              <w:rPr>
                <w:bCs/>
                <w:sz w:val="22"/>
                <w:szCs w:val="22"/>
                <w:vertAlign w:val="superscript"/>
                <w:lang w:bidi="en-US"/>
              </w:rPr>
              <w:t>HI</w:t>
            </w:r>
            <w:r w:rsidR="0032729D" w:rsidRPr="00C9170F">
              <w:rPr>
                <w:bCs/>
                <w:sz w:val="22"/>
                <w:szCs w:val="22"/>
                <w:lang w:bidi="en-US"/>
              </w:rPr>
              <w:t xml:space="preserve">). </w:t>
            </w:r>
          </w:p>
          <w:p w14:paraId="69F28DF8" w14:textId="77777777" w:rsidR="003B073E" w:rsidRPr="00C9170F" w:rsidRDefault="003B073E" w:rsidP="000A28E2">
            <w:pPr>
              <w:pStyle w:val="Pa12"/>
              <w:rPr>
                <w:bCs/>
                <w:sz w:val="22"/>
                <w:szCs w:val="22"/>
                <w:lang w:bidi="en-US"/>
              </w:rPr>
            </w:pPr>
          </w:p>
          <w:p w14:paraId="6BB20AB9" w14:textId="50A77F2B" w:rsidR="000B052D" w:rsidRPr="00C9170F" w:rsidRDefault="000B052D" w:rsidP="000B052D">
            <w:pPr>
              <w:pStyle w:val="Pa12"/>
              <w:rPr>
                <w:bCs/>
                <w:sz w:val="22"/>
                <w:szCs w:val="22"/>
                <w:lang w:bidi="en-US"/>
              </w:rPr>
            </w:pPr>
            <w:r w:rsidRPr="00C9170F">
              <w:rPr>
                <w:rStyle w:val="A4"/>
                <w:b/>
                <w:bCs/>
              </w:rPr>
              <w:t xml:space="preserve">Conclusion: </w:t>
            </w:r>
            <w:r w:rsidR="00A228FF" w:rsidRPr="00C9170F">
              <w:rPr>
                <w:bCs/>
                <w:sz w:val="22"/>
                <w:szCs w:val="22"/>
                <w:lang w:bidi="en-US"/>
              </w:rPr>
              <w:t xml:space="preserve">The immunopathogenesis of severe DAD in COVID-19 lung disease is characterised by sustained increases in </w:t>
            </w:r>
            <w:proofErr w:type="spellStart"/>
            <w:r w:rsidR="00A228FF" w:rsidRPr="00C9170F">
              <w:rPr>
                <w:bCs/>
                <w:sz w:val="22"/>
                <w:szCs w:val="22"/>
                <w:lang w:bidi="en-US"/>
              </w:rPr>
              <w:t>MnPs</w:t>
            </w:r>
            <w:proofErr w:type="spellEnd"/>
            <w:r w:rsidR="00A228FF" w:rsidRPr="00C9170F">
              <w:rPr>
                <w:bCs/>
                <w:sz w:val="22"/>
                <w:szCs w:val="22"/>
                <w:lang w:bidi="en-US"/>
              </w:rPr>
              <w:t xml:space="preserve"> and lymphocytes. Key </w:t>
            </w:r>
            <w:r w:rsidR="0000328D" w:rsidRPr="00C9170F">
              <w:rPr>
                <w:bCs/>
                <w:sz w:val="22"/>
                <w:szCs w:val="22"/>
                <w:lang w:bidi="en-US"/>
              </w:rPr>
              <w:t xml:space="preserve">innate-stromal and innate-adaptive </w:t>
            </w:r>
            <w:r w:rsidR="000D4450" w:rsidRPr="00C9170F">
              <w:rPr>
                <w:bCs/>
                <w:sz w:val="22"/>
                <w:szCs w:val="22"/>
                <w:lang w:bidi="en-US"/>
              </w:rPr>
              <w:t>interactions occur early, prior to overt tissue damage, likely establishing a program of</w:t>
            </w:r>
            <w:r w:rsidR="00224085" w:rsidRPr="00C9170F">
              <w:rPr>
                <w:bCs/>
                <w:sz w:val="22"/>
                <w:szCs w:val="22"/>
                <w:lang w:bidi="en-US"/>
              </w:rPr>
              <w:t xml:space="preserve"> aberrant inflammation and repair</w:t>
            </w:r>
            <w:r w:rsidR="003A5594">
              <w:rPr>
                <w:bCs/>
                <w:sz w:val="22"/>
                <w:szCs w:val="22"/>
                <w:lang w:bidi="en-US"/>
              </w:rPr>
              <w:t xml:space="preserve"> which severe COVID19 is known for</w:t>
            </w:r>
            <w:r w:rsidR="00224085" w:rsidRPr="00C9170F">
              <w:rPr>
                <w:bCs/>
                <w:sz w:val="22"/>
                <w:szCs w:val="22"/>
                <w:lang w:bidi="en-US"/>
              </w:rPr>
              <w:t xml:space="preserve">. </w:t>
            </w:r>
          </w:p>
          <w:p w14:paraId="45FE2669" w14:textId="77777777" w:rsidR="00224085" w:rsidRPr="00C9170F" w:rsidRDefault="00224085" w:rsidP="00224085">
            <w:pPr>
              <w:pStyle w:val="Default"/>
              <w:rPr>
                <w:bCs/>
                <w:sz w:val="22"/>
                <w:szCs w:val="22"/>
                <w:lang w:bidi="en-US"/>
              </w:rPr>
            </w:pPr>
          </w:p>
          <w:p w14:paraId="3E8B4283" w14:textId="785099F7" w:rsidR="001564A4" w:rsidRPr="00C9170F" w:rsidRDefault="000B052D" w:rsidP="003775E3">
            <w:pPr>
              <w:rPr>
                <w:rStyle w:val="A4"/>
                <w:rFonts w:ascii="Arial" w:hAnsi="Arial" w:cs="Arial"/>
                <w:bCs/>
              </w:rPr>
            </w:pPr>
            <w:r w:rsidRPr="00C9170F">
              <w:rPr>
                <w:rStyle w:val="A4"/>
                <w:rFonts w:ascii="Arial" w:hAnsi="Arial" w:cs="Arial"/>
                <w:b/>
              </w:rPr>
              <w:t>Grant Support</w:t>
            </w:r>
            <w:r w:rsidRPr="00C9170F">
              <w:rPr>
                <w:rStyle w:val="A4"/>
                <w:rFonts w:ascii="Arial" w:hAnsi="Arial" w:cs="Arial"/>
                <w:bCs/>
              </w:rPr>
              <w:t>:</w:t>
            </w:r>
            <w:r w:rsidR="00B70819" w:rsidRPr="00C9170F">
              <w:rPr>
                <w:rStyle w:val="A4"/>
                <w:rFonts w:ascii="Arial" w:hAnsi="Arial" w:cs="Arial"/>
                <w:bCs/>
              </w:rPr>
              <w:t xml:space="preserve"> UK Research and Innovation/Medical Research Council</w:t>
            </w:r>
            <w:r w:rsidR="00F13B47" w:rsidRPr="00C9170F">
              <w:rPr>
                <w:rStyle w:val="A4"/>
                <w:rFonts w:ascii="Arial" w:hAnsi="Arial" w:cs="Arial"/>
                <w:bCs/>
              </w:rPr>
              <w:t xml:space="preserve"> through the UK Coronavirus Immunology Consortium, Barbour Foundation, General Sir John Monash Foundation, Newcastle University</w:t>
            </w:r>
            <w:r w:rsidR="003775E3" w:rsidRPr="00C9170F">
              <w:rPr>
                <w:rStyle w:val="A4"/>
                <w:rFonts w:ascii="Arial" w:hAnsi="Arial" w:cs="Arial"/>
                <w:bCs/>
              </w:rPr>
              <w:t xml:space="preserve">, JGW Patterson Foundation, </w:t>
            </w:r>
            <w:proofErr w:type="spellStart"/>
            <w:r w:rsidR="003775E3" w:rsidRPr="00C9170F">
              <w:rPr>
                <w:rStyle w:val="A4"/>
                <w:rFonts w:ascii="Arial" w:hAnsi="Arial" w:cs="Arial"/>
                <w:bCs/>
              </w:rPr>
              <w:t>Wellcome</w:t>
            </w:r>
            <w:proofErr w:type="spellEnd"/>
            <w:r w:rsidR="003775E3" w:rsidRPr="00C9170F">
              <w:rPr>
                <w:rStyle w:val="A4"/>
                <w:rFonts w:ascii="Arial" w:hAnsi="Arial" w:cs="Arial"/>
                <w:bCs/>
              </w:rPr>
              <w:t xml:space="preserve"> Trust. </w:t>
            </w:r>
            <w:r w:rsidR="001564A4" w:rsidRPr="00C9170F">
              <w:rPr>
                <w:rStyle w:val="A4"/>
                <w:rFonts w:ascii="Arial" w:hAnsi="Arial" w:cs="Arial"/>
                <w:bCs/>
              </w:rPr>
              <w:t xml:space="preserve"> </w:t>
            </w:r>
          </w:p>
          <w:p w14:paraId="7F8381F0" w14:textId="77777777" w:rsidR="001564A4" w:rsidRPr="00B70819" w:rsidRDefault="001564A4" w:rsidP="000A28E2">
            <w:pPr>
              <w:pStyle w:val="Pa12"/>
              <w:rPr>
                <w:sz w:val="18"/>
                <w:szCs w:val="18"/>
              </w:rPr>
            </w:pPr>
            <w:r w:rsidRPr="00B70819">
              <w:rPr>
                <w:sz w:val="18"/>
                <w:szCs w:val="18"/>
              </w:rPr>
              <w:br/>
            </w:r>
            <w:r w:rsidRPr="00B70819">
              <w:rPr>
                <w:sz w:val="18"/>
                <w:szCs w:val="18"/>
              </w:rPr>
              <w:br/>
            </w:r>
            <w:r w:rsidRPr="00B70819">
              <w:rPr>
                <w:sz w:val="18"/>
                <w:szCs w:val="18"/>
              </w:rPr>
              <w:br/>
            </w:r>
            <w:r w:rsidRPr="00B70819">
              <w:rPr>
                <w:sz w:val="18"/>
                <w:szCs w:val="18"/>
              </w:rPr>
              <w:br/>
            </w:r>
            <w:r w:rsidRPr="00B70819">
              <w:rPr>
                <w:sz w:val="18"/>
                <w:szCs w:val="18"/>
              </w:rPr>
              <w:br/>
            </w:r>
            <w:r w:rsidRPr="00B70819">
              <w:rPr>
                <w:sz w:val="18"/>
                <w:szCs w:val="18"/>
              </w:rPr>
              <w:br/>
            </w:r>
            <w:r w:rsidRPr="00B70819">
              <w:rPr>
                <w:sz w:val="18"/>
                <w:szCs w:val="18"/>
              </w:rPr>
              <w:br/>
            </w:r>
            <w:r w:rsidRPr="00B70819">
              <w:rPr>
                <w:sz w:val="18"/>
                <w:szCs w:val="18"/>
              </w:rPr>
              <w:br/>
            </w:r>
            <w:r w:rsidRPr="00B70819">
              <w:rPr>
                <w:sz w:val="18"/>
                <w:szCs w:val="18"/>
              </w:rPr>
              <w:br/>
            </w:r>
            <w:r w:rsidRPr="00B70819">
              <w:rPr>
                <w:sz w:val="18"/>
                <w:szCs w:val="18"/>
              </w:rPr>
              <w:br/>
            </w:r>
            <w:r w:rsidRPr="00B70819">
              <w:rPr>
                <w:sz w:val="18"/>
                <w:szCs w:val="18"/>
              </w:rPr>
              <w:br/>
            </w:r>
          </w:p>
          <w:p w14:paraId="731CD908" w14:textId="77777777" w:rsidR="001564A4" w:rsidRPr="00B70819" w:rsidRDefault="001564A4" w:rsidP="000A28E2">
            <w:pPr>
              <w:pStyle w:val="Default"/>
              <w:rPr>
                <w:sz w:val="18"/>
                <w:szCs w:val="18"/>
              </w:rPr>
            </w:pPr>
          </w:p>
          <w:p w14:paraId="34BF0A0F" w14:textId="77777777" w:rsidR="001564A4" w:rsidRPr="00B70819" w:rsidRDefault="001564A4" w:rsidP="000A28E2">
            <w:pPr>
              <w:pStyle w:val="Default"/>
              <w:rPr>
                <w:sz w:val="18"/>
                <w:szCs w:val="18"/>
              </w:rPr>
            </w:pPr>
          </w:p>
          <w:p w14:paraId="1FF1A88F" w14:textId="77777777" w:rsidR="001564A4" w:rsidRPr="00B70819" w:rsidRDefault="001564A4" w:rsidP="000A28E2">
            <w:pPr>
              <w:pStyle w:val="Pa12"/>
              <w:rPr>
                <w:rStyle w:val="A4"/>
                <w:bCs/>
                <w:sz w:val="18"/>
                <w:szCs w:val="18"/>
              </w:rPr>
            </w:pPr>
            <w:r w:rsidRPr="00B70819">
              <w:rPr>
                <w:rStyle w:val="A4"/>
                <w:bCs/>
                <w:sz w:val="18"/>
                <w:szCs w:val="18"/>
              </w:rPr>
              <w:br/>
            </w:r>
            <w:r w:rsidRPr="00B70819">
              <w:rPr>
                <w:rStyle w:val="A4"/>
                <w:bCs/>
                <w:sz w:val="18"/>
                <w:szCs w:val="18"/>
              </w:rPr>
              <w:br/>
            </w:r>
            <w:r w:rsidRPr="00B70819">
              <w:rPr>
                <w:rStyle w:val="A4"/>
                <w:bCs/>
                <w:sz w:val="18"/>
                <w:szCs w:val="18"/>
              </w:rPr>
              <w:br/>
            </w:r>
            <w:r w:rsidRPr="00B70819">
              <w:rPr>
                <w:rStyle w:val="A4"/>
                <w:bCs/>
                <w:sz w:val="18"/>
                <w:szCs w:val="18"/>
              </w:rPr>
              <w:br/>
            </w:r>
            <w:r w:rsidRPr="00B70819">
              <w:rPr>
                <w:rStyle w:val="A4"/>
                <w:bCs/>
                <w:sz w:val="18"/>
                <w:szCs w:val="18"/>
              </w:rPr>
              <w:br/>
            </w:r>
            <w:r w:rsidRPr="00B70819">
              <w:rPr>
                <w:rStyle w:val="A4"/>
                <w:bCs/>
                <w:sz w:val="18"/>
                <w:szCs w:val="18"/>
              </w:rPr>
              <w:br/>
            </w:r>
            <w:r w:rsidRPr="00B70819">
              <w:rPr>
                <w:rStyle w:val="A4"/>
                <w:bCs/>
                <w:sz w:val="18"/>
                <w:szCs w:val="18"/>
              </w:rPr>
              <w:br/>
            </w:r>
            <w:r w:rsidRPr="00B70819">
              <w:rPr>
                <w:rStyle w:val="A4"/>
                <w:bCs/>
                <w:sz w:val="18"/>
                <w:szCs w:val="18"/>
              </w:rPr>
              <w:br/>
            </w:r>
            <w:r w:rsidRPr="00B70819">
              <w:rPr>
                <w:rStyle w:val="A4"/>
                <w:bCs/>
                <w:sz w:val="18"/>
                <w:szCs w:val="18"/>
              </w:rPr>
              <w:br/>
            </w:r>
            <w:r w:rsidRPr="00B70819">
              <w:rPr>
                <w:rStyle w:val="A4"/>
                <w:bCs/>
                <w:sz w:val="18"/>
                <w:szCs w:val="18"/>
              </w:rPr>
              <w:br/>
            </w:r>
            <w:r w:rsidRPr="00B70819">
              <w:rPr>
                <w:rStyle w:val="A4"/>
                <w:bCs/>
                <w:sz w:val="18"/>
                <w:szCs w:val="18"/>
              </w:rPr>
              <w:br/>
            </w:r>
          </w:p>
          <w:p w14:paraId="14DC37E4" w14:textId="77777777" w:rsidR="001564A4" w:rsidRPr="00B70819" w:rsidRDefault="001564A4" w:rsidP="000A28E2">
            <w:pPr>
              <w:pStyle w:val="Default"/>
              <w:rPr>
                <w:rStyle w:val="A4"/>
                <w:bCs/>
                <w:sz w:val="18"/>
                <w:szCs w:val="18"/>
              </w:rPr>
            </w:pPr>
          </w:p>
          <w:p w14:paraId="5F58D34F" w14:textId="77777777" w:rsidR="001564A4" w:rsidRPr="00B70819" w:rsidRDefault="001564A4" w:rsidP="000A28E2">
            <w:pPr>
              <w:pStyle w:val="Default"/>
              <w:rPr>
                <w:sz w:val="18"/>
                <w:szCs w:val="18"/>
                <w:lang w:val="en-US" w:eastAsia="en-GB"/>
              </w:rPr>
            </w:pP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  <w:r w:rsidRPr="00B70819">
              <w:rPr>
                <w:sz w:val="18"/>
                <w:szCs w:val="18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328D"/>
    <w:rsid w:val="000205A3"/>
    <w:rsid w:val="0003587C"/>
    <w:rsid w:val="0007253B"/>
    <w:rsid w:val="000B052D"/>
    <w:rsid w:val="000D4450"/>
    <w:rsid w:val="00135676"/>
    <w:rsid w:val="0014026E"/>
    <w:rsid w:val="001564A4"/>
    <w:rsid w:val="0018568B"/>
    <w:rsid w:val="001B7B92"/>
    <w:rsid w:val="001D26F3"/>
    <w:rsid w:val="001E08F1"/>
    <w:rsid w:val="001F23C2"/>
    <w:rsid w:val="00224085"/>
    <w:rsid w:val="00235F2A"/>
    <w:rsid w:val="002440BB"/>
    <w:rsid w:val="00254407"/>
    <w:rsid w:val="00254981"/>
    <w:rsid w:val="002A0CF9"/>
    <w:rsid w:val="002B3600"/>
    <w:rsid w:val="003251C7"/>
    <w:rsid w:val="0032729D"/>
    <w:rsid w:val="00336DC6"/>
    <w:rsid w:val="003437C7"/>
    <w:rsid w:val="0036050A"/>
    <w:rsid w:val="003775E3"/>
    <w:rsid w:val="00386DFD"/>
    <w:rsid w:val="003A3BCF"/>
    <w:rsid w:val="003A5594"/>
    <w:rsid w:val="003B073E"/>
    <w:rsid w:val="003D25C9"/>
    <w:rsid w:val="003E0571"/>
    <w:rsid w:val="003F7E2F"/>
    <w:rsid w:val="00435195"/>
    <w:rsid w:val="00442E92"/>
    <w:rsid w:val="004517F7"/>
    <w:rsid w:val="00497B0C"/>
    <w:rsid w:val="004F1264"/>
    <w:rsid w:val="00501508"/>
    <w:rsid w:val="00515378"/>
    <w:rsid w:val="0051574E"/>
    <w:rsid w:val="0053053A"/>
    <w:rsid w:val="00576213"/>
    <w:rsid w:val="0059157D"/>
    <w:rsid w:val="005959ED"/>
    <w:rsid w:val="005B3712"/>
    <w:rsid w:val="005C0B4E"/>
    <w:rsid w:val="005C4AA2"/>
    <w:rsid w:val="005D1DA0"/>
    <w:rsid w:val="005E0B07"/>
    <w:rsid w:val="00601CFA"/>
    <w:rsid w:val="006671B6"/>
    <w:rsid w:val="00722B8D"/>
    <w:rsid w:val="00736DA6"/>
    <w:rsid w:val="00770A11"/>
    <w:rsid w:val="0078779F"/>
    <w:rsid w:val="007950E2"/>
    <w:rsid w:val="007A4430"/>
    <w:rsid w:val="007D5D3E"/>
    <w:rsid w:val="008325F5"/>
    <w:rsid w:val="008803FA"/>
    <w:rsid w:val="008A49D7"/>
    <w:rsid w:val="008A61D1"/>
    <w:rsid w:val="008E5F3B"/>
    <w:rsid w:val="00937602"/>
    <w:rsid w:val="00953138"/>
    <w:rsid w:val="009718B1"/>
    <w:rsid w:val="00A228FF"/>
    <w:rsid w:val="00A51697"/>
    <w:rsid w:val="00A54C6B"/>
    <w:rsid w:val="00A7792C"/>
    <w:rsid w:val="00A93C8D"/>
    <w:rsid w:val="00AE7F0A"/>
    <w:rsid w:val="00AF2D17"/>
    <w:rsid w:val="00AF6F42"/>
    <w:rsid w:val="00B12E32"/>
    <w:rsid w:val="00B37AC9"/>
    <w:rsid w:val="00B62C01"/>
    <w:rsid w:val="00B70819"/>
    <w:rsid w:val="00B84BB2"/>
    <w:rsid w:val="00B84CF4"/>
    <w:rsid w:val="00B96D90"/>
    <w:rsid w:val="00BB5707"/>
    <w:rsid w:val="00BD004B"/>
    <w:rsid w:val="00C10B69"/>
    <w:rsid w:val="00C14224"/>
    <w:rsid w:val="00C66392"/>
    <w:rsid w:val="00C804C5"/>
    <w:rsid w:val="00C9170F"/>
    <w:rsid w:val="00CD573E"/>
    <w:rsid w:val="00CD5CA5"/>
    <w:rsid w:val="00CE614B"/>
    <w:rsid w:val="00D15A64"/>
    <w:rsid w:val="00D16A04"/>
    <w:rsid w:val="00D40D24"/>
    <w:rsid w:val="00E04247"/>
    <w:rsid w:val="00E0700F"/>
    <w:rsid w:val="00E32A7E"/>
    <w:rsid w:val="00E667E3"/>
    <w:rsid w:val="00EA2E80"/>
    <w:rsid w:val="00EB4791"/>
    <w:rsid w:val="00EB5949"/>
    <w:rsid w:val="00F13B47"/>
    <w:rsid w:val="00F14B1B"/>
    <w:rsid w:val="00FB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Luke</cp:lastModifiedBy>
  <cp:revision>102</cp:revision>
  <dcterms:created xsi:type="dcterms:W3CDTF">2023-09-30T08:18:00Z</dcterms:created>
  <dcterms:modified xsi:type="dcterms:W3CDTF">2023-10-02T04:56:00Z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