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710F0D4C" w14:textId="77777777" w:rsidR="00F873EB" w:rsidRPr="00F873EB" w:rsidRDefault="00F873EB" w:rsidP="00236175">
            <w:pPr>
              <w:jc w:val="both"/>
              <w:rPr>
                <w:rFonts w:ascii="Arial" w:hAnsi="Arial" w:cs="Arial"/>
                <w:i/>
                <w:iCs/>
                <w:sz w:val="22"/>
                <w:szCs w:val="22"/>
                <w:lang w:val="en-CA"/>
              </w:rPr>
            </w:pPr>
            <w:r w:rsidRPr="00F873EB">
              <w:rPr>
                <w:rFonts w:ascii="Arial" w:hAnsi="Arial" w:cs="Arial"/>
                <w:i/>
                <w:iCs/>
                <w:sz w:val="22"/>
                <w:szCs w:val="22"/>
                <w:lang w:val="en-CA"/>
              </w:rPr>
              <w:t>Paper</w:t>
            </w:r>
          </w:p>
          <w:p w14:paraId="5C7D829F" w14:textId="77777777" w:rsidR="00C8423A" w:rsidRDefault="00236175" w:rsidP="00236175">
            <w:pPr>
              <w:jc w:val="both"/>
              <w:rPr>
                <w:rFonts w:ascii="Arial" w:hAnsi="Arial" w:cs="Arial"/>
                <w:sz w:val="22"/>
                <w:szCs w:val="22"/>
              </w:rPr>
            </w:pPr>
            <w:r w:rsidRPr="0018532B">
              <w:rPr>
                <w:rFonts w:ascii="Arial" w:hAnsi="Arial" w:cs="Arial"/>
                <w:b/>
                <w:bCs/>
                <w:sz w:val="22"/>
                <w:szCs w:val="22"/>
                <w:lang w:val="en-CA"/>
              </w:rPr>
              <w:t>Legislative gaps in the protection</w:t>
            </w:r>
            <w:r>
              <w:rPr>
                <w:rFonts w:ascii="Arial" w:hAnsi="Arial" w:cs="Arial"/>
                <w:b/>
                <w:bCs/>
                <w:sz w:val="22"/>
                <w:szCs w:val="22"/>
                <w:lang w:val="en-CA"/>
              </w:rPr>
              <w:t xml:space="preserve"> </w:t>
            </w:r>
            <w:r w:rsidRPr="0018532B">
              <w:rPr>
                <w:rFonts w:ascii="Arial" w:hAnsi="Arial" w:cs="Arial"/>
                <w:b/>
                <w:bCs/>
                <w:sz w:val="22"/>
                <w:szCs w:val="22"/>
                <w:lang w:val="en-CA"/>
              </w:rPr>
              <w:t>of cultural landscapes as Aotearoa adapts to a changing climate</w:t>
            </w:r>
            <w:r w:rsidRPr="0018532B">
              <w:rPr>
                <w:rFonts w:ascii="Arial" w:hAnsi="Arial" w:cs="Arial"/>
                <w:sz w:val="22"/>
                <w:szCs w:val="22"/>
              </w:rPr>
              <w:t> </w:t>
            </w:r>
          </w:p>
          <w:p w14:paraId="3F7D1534" w14:textId="37AC88F6" w:rsidR="00F873EB" w:rsidRPr="009C75AE" w:rsidRDefault="00F873EB" w:rsidP="00236175">
            <w:pPr>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1FD7BA5A" w14:textId="77777777" w:rsidR="00F873EB" w:rsidRDefault="00F873EB" w:rsidP="00236175">
            <w:pPr>
              <w:jc w:val="both"/>
              <w:textAlignment w:val="baseline"/>
              <w:rPr>
                <w:rFonts w:ascii="Arial" w:hAnsi="Arial" w:cs="Arial"/>
                <w:b/>
                <w:bCs/>
                <w:sz w:val="22"/>
                <w:szCs w:val="22"/>
                <w:lang w:val="en-CA"/>
              </w:rPr>
            </w:pPr>
          </w:p>
          <w:p w14:paraId="52D34C65" w14:textId="2DB55056" w:rsidR="00236175" w:rsidRDefault="00236175" w:rsidP="00236175">
            <w:pPr>
              <w:jc w:val="both"/>
              <w:textAlignment w:val="baseline"/>
              <w:rPr>
                <w:rFonts w:ascii="Arial" w:hAnsi="Arial" w:cs="Arial"/>
                <w:b/>
                <w:bCs/>
                <w:sz w:val="22"/>
                <w:szCs w:val="22"/>
                <w:lang w:val="en-CA"/>
              </w:rPr>
            </w:pPr>
            <w:r w:rsidRPr="0018532B">
              <w:rPr>
                <w:rFonts w:ascii="Arial" w:hAnsi="Arial" w:cs="Arial"/>
                <w:b/>
                <w:bCs/>
                <w:sz w:val="22"/>
                <w:szCs w:val="22"/>
                <w:lang w:val="en-CA"/>
              </w:rPr>
              <w:t>Introduction</w:t>
            </w:r>
          </w:p>
          <w:p w14:paraId="0F269EFA" w14:textId="65CF881D" w:rsidR="00236175" w:rsidRDefault="00236175" w:rsidP="00236175">
            <w:pPr>
              <w:jc w:val="both"/>
              <w:textAlignment w:val="baseline"/>
              <w:rPr>
                <w:rFonts w:ascii="Arial" w:hAnsi="Arial" w:cs="Arial"/>
                <w:sz w:val="22"/>
                <w:szCs w:val="22"/>
              </w:rPr>
            </w:pPr>
            <w:r w:rsidRPr="0018532B">
              <w:rPr>
                <w:rFonts w:ascii="Arial" w:hAnsi="Arial" w:cs="Arial"/>
                <w:sz w:val="22"/>
                <w:szCs w:val="22"/>
                <w:lang w:val="en-US"/>
              </w:rPr>
              <w:t xml:space="preserve">The impacts of climate change and related hazards </w:t>
            </w:r>
            <w:r w:rsidRPr="0018532B">
              <w:rPr>
                <w:rFonts w:ascii="Arial" w:hAnsi="Arial" w:cs="Arial"/>
                <w:sz w:val="22"/>
                <w:szCs w:val="22"/>
                <w:lang w:val="en-CA"/>
              </w:rPr>
              <w:t>represent one of the most urgent and rapidly escalating threats to people and their cultural heritage worldwide (ICOMOS, 2019). As the climate crisis intensifies with more extreme weather events</w:t>
            </w:r>
            <w:r>
              <w:rPr>
                <w:rFonts w:ascii="Arial" w:hAnsi="Arial" w:cs="Arial"/>
                <w:sz w:val="22"/>
                <w:szCs w:val="22"/>
                <w:lang w:val="en-CA"/>
              </w:rPr>
              <w:t xml:space="preserve">, </w:t>
            </w:r>
            <w:r w:rsidRPr="0018532B">
              <w:rPr>
                <w:rFonts w:ascii="Arial" w:hAnsi="Arial" w:cs="Arial"/>
                <w:sz w:val="22"/>
                <w:szCs w:val="22"/>
                <w:lang w:val="en-CA"/>
              </w:rPr>
              <w:t xml:space="preserve">we are seeing a rapid loss of established communities from areas impacted by natural hazards. </w:t>
            </w:r>
            <w:r w:rsidRPr="004B57DA">
              <w:rPr>
                <w:rFonts w:ascii="Arial" w:hAnsi="Arial" w:cs="Arial"/>
                <w:sz w:val="22"/>
                <w:szCs w:val="22"/>
                <w:lang w:val="en-CA"/>
              </w:rPr>
              <w:t xml:space="preserve">In Aotearoa, </w:t>
            </w:r>
            <w:r w:rsidRPr="23E84F26">
              <w:rPr>
                <w:rFonts w:ascii="Arial" w:hAnsi="Arial" w:cs="Arial"/>
                <w:sz w:val="22"/>
                <w:szCs w:val="22"/>
                <w:lang w:val="en-CA"/>
              </w:rPr>
              <w:t>cultural</w:t>
            </w:r>
            <w:r w:rsidRPr="0AA4E6EA">
              <w:rPr>
                <w:rFonts w:ascii="Arial" w:hAnsi="Arial" w:cs="Arial"/>
                <w:sz w:val="22"/>
                <w:szCs w:val="22"/>
                <w:lang w:val="en-CA"/>
              </w:rPr>
              <w:t xml:space="preserve"> and ancestral Māori</w:t>
            </w:r>
            <w:r>
              <w:rPr>
                <w:rFonts w:ascii="Arial" w:hAnsi="Arial" w:cs="Arial"/>
                <w:sz w:val="22"/>
                <w:szCs w:val="22"/>
                <w:lang w:val="en-CA"/>
              </w:rPr>
              <w:t xml:space="preserve"> </w:t>
            </w:r>
            <w:r w:rsidRPr="004B57DA">
              <w:rPr>
                <w:rFonts w:ascii="Arial" w:hAnsi="Arial" w:cs="Arial"/>
                <w:sz w:val="22"/>
                <w:szCs w:val="22"/>
                <w:lang w:val="en-CA"/>
              </w:rPr>
              <w:t xml:space="preserve">landscapes are rapidly </w:t>
            </w:r>
            <w:r w:rsidRPr="0AA4E6EA">
              <w:rPr>
                <w:rFonts w:ascii="Arial" w:hAnsi="Arial" w:cs="Arial"/>
                <w:sz w:val="22"/>
                <w:szCs w:val="22"/>
                <w:lang w:val="en-CA"/>
              </w:rPr>
              <w:t>destroyed</w:t>
            </w:r>
            <w:r w:rsidRPr="004B57DA">
              <w:rPr>
                <w:rFonts w:ascii="Arial" w:hAnsi="Arial" w:cs="Arial"/>
                <w:sz w:val="22"/>
                <w:szCs w:val="22"/>
                <w:lang w:val="en-CA"/>
              </w:rPr>
              <w:t xml:space="preserve"> from both natural hazard events and climate adaptation measures. </w:t>
            </w:r>
            <w:r>
              <w:rPr>
                <w:rFonts w:ascii="Arial" w:hAnsi="Arial" w:cs="Arial"/>
                <w:sz w:val="22"/>
                <w:szCs w:val="22"/>
                <w:lang w:val="en-CA"/>
              </w:rPr>
              <w:t>This loss is exacerbated by climate mitigation and adaptation schemes</w:t>
            </w:r>
            <w:r w:rsidRPr="0018532B">
              <w:rPr>
                <w:rFonts w:ascii="Arial" w:hAnsi="Arial" w:cs="Arial"/>
                <w:sz w:val="22"/>
                <w:szCs w:val="22"/>
                <w:lang w:val="en-CA"/>
              </w:rPr>
              <w:t xml:space="preserve"> </w:t>
            </w:r>
            <w:r>
              <w:rPr>
                <w:rFonts w:ascii="Arial" w:hAnsi="Arial" w:cs="Arial"/>
                <w:sz w:val="22"/>
                <w:szCs w:val="22"/>
                <w:lang w:val="en-CA"/>
              </w:rPr>
              <w:t xml:space="preserve">which include </w:t>
            </w:r>
            <w:r w:rsidRPr="0018532B">
              <w:rPr>
                <w:rFonts w:ascii="Arial" w:hAnsi="Arial" w:cs="Arial"/>
                <w:sz w:val="22"/>
                <w:szCs w:val="22"/>
                <w:lang w:val="en-CA"/>
              </w:rPr>
              <w:t>plantation afforestation (Ministry for the Environment, 2022)</w:t>
            </w:r>
            <w:r>
              <w:rPr>
                <w:rFonts w:ascii="Arial" w:hAnsi="Arial" w:cs="Arial"/>
                <w:sz w:val="22"/>
                <w:szCs w:val="22"/>
                <w:lang w:val="en-CA"/>
              </w:rPr>
              <w:t xml:space="preserve">; </w:t>
            </w:r>
            <w:r w:rsidRPr="0018532B">
              <w:rPr>
                <w:rFonts w:ascii="Arial" w:hAnsi="Arial" w:cs="Arial"/>
                <w:sz w:val="22"/>
                <w:szCs w:val="22"/>
                <w:lang w:val="en-CA"/>
              </w:rPr>
              <w:t>fast-tracking of development to accommodate the increasing number of communities displaced from hazard prone areas</w:t>
            </w:r>
            <w:r>
              <w:rPr>
                <w:rFonts w:ascii="Arial" w:hAnsi="Arial" w:cs="Arial"/>
                <w:sz w:val="22"/>
                <w:szCs w:val="22"/>
                <w:lang w:val="en-CA"/>
              </w:rPr>
              <w:t>;</w:t>
            </w:r>
            <w:r w:rsidRPr="0018532B">
              <w:rPr>
                <w:rFonts w:ascii="Arial" w:hAnsi="Arial" w:cs="Arial"/>
                <w:sz w:val="22"/>
                <w:szCs w:val="22"/>
                <w:lang w:val="en-CA"/>
              </w:rPr>
              <w:t xml:space="preserve"> and </w:t>
            </w:r>
            <w:r>
              <w:rPr>
                <w:rFonts w:ascii="Arial" w:hAnsi="Arial" w:cs="Arial"/>
                <w:sz w:val="22"/>
                <w:szCs w:val="22"/>
                <w:lang w:val="en-CA"/>
              </w:rPr>
              <w:t xml:space="preserve">risk and </w:t>
            </w:r>
            <w:r w:rsidRPr="0018532B">
              <w:rPr>
                <w:rFonts w:ascii="Arial" w:hAnsi="Arial" w:cs="Arial"/>
                <w:sz w:val="22"/>
                <w:szCs w:val="22"/>
                <w:lang w:val="en-CA"/>
              </w:rPr>
              <w:t xml:space="preserve">recovery efforts </w:t>
            </w:r>
            <w:r>
              <w:rPr>
                <w:rFonts w:ascii="Arial" w:hAnsi="Arial" w:cs="Arial"/>
                <w:sz w:val="22"/>
                <w:szCs w:val="22"/>
                <w:lang w:val="en-CA"/>
              </w:rPr>
              <w:t xml:space="preserve">associated </w:t>
            </w:r>
            <w:r w:rsidRPr="0018532B">
              <w:rPr>
                <w:rFonts w:ascii="Arial" w:hAnsi="Arial" w:cs="Arial"/>
                <w:sz w:val="22"/>
                <w:szCs w:val="22"/>
                <w:lang w:val="en-CA"/>
              </w:rPr>
              <w:t xml:space="preserve">with mitigating the impact of future hazard events.  </w:t>
            </w:r>
            <w:r w:rsidRPr="0018532B">
              <w:rPr>
                <w:rFonts w:ascii="Arial" w:hAnsi="Arial" w:cs="Arial"/>
                <w:sz w:val="22"/>
                <w:szCs w:val="22"/>
                <w:lang w:val="en-US"/>
              </w:rPr>
              <w:t xml:space="preserve">Climate change </w:t>
            </w:r>
            <w:r>
              <w:rPr>
                <w:rFonts w:ascii="Arial" w:hAnsi="Arial" w:cs="Arial"/>
                <w:sz w:val="22"/>
                <w:szCs w:val="22"/>
                <w:lang w:val="en-US"/>
              </w:rPr>
              <w:t xml:space="preserve">is </w:t>
            </w:r>
            <w:r w:rsidRPr="0AA4E6EA">
              <w:rPr>
                <w:rFonts w:ascii="Arial" w:hAnsi="Arial" w:cs="Arial"/>
                <w:sz w:val="22"/>
                <w:szCs w:val="22"/>
                <w:lang w:val="en-US"/>
              </w:rPr>
              <w:t xml:space="preserve">threatening </w:t>
            </w:r>
            <w:r w:rsidRPr="23E84F26">
              <w:rPr>
                <w:rFonts w:ascii="Arial" w:hAnsi="Arial" w:cs="Arial"/>
                <w:sz w:val="22"/>
                <w:szCs w:val="22"/>
                <w:lang w:val="en-US"/>
              </w:rPr>
              <w:t xml:space="preserve">the retention of </w:t>
            </w:r>
            <w:r>
              <w:rPr>
                <w:rFonts w:ascii="Arial" w:hAnsi="Arial" w:cs="Arial"/>
                <w:sz w:val="22"/>
                <w:szCs w:val="22"/>
                <w:lang w:val="en-US"/>
              </w:rPr>
              <w:t xml:space="preserve">the </w:t>
            </w:r>
            <w:r w:rsidRPr="23E84F26">
              <w:rPr>
                <w:rFonts w:ascii="Arial" w:hAnsi="Arial" w:cs="Arial"/>
                <w:sz w:val="22"/>
                <w:szCs w:val="22"/>
                <w:lang w:val="en-US"/>
              </w:rPr>
              <w:t xml:space="preserve">unique </w:t>
            </w:r>
            <w:r w:rsidRPr="0AA4E6EA">
              <w:rPr>
                <w:rFonts w:ascii="Arial" w:hAnsi="Arial" w:cs="Arial"/>
                <w:sz w:val="22"/>
                <w:szCs w:val="22"/>
                <w:lang w:val="en-US"/>
              </w:rPr>
              <w:t>heritage</w:t>
            </w:r>
            <w:r>
              <w:rPr>
                <w:rFonts w:ascii="Arial" w:hAnsi="Arial" w:cs="Arial"/>
                <w:sz w:val="22"/>
                <w:szCs w:val="22"/>
                <w:lang w:val="en-US"/>
              </w:rPr>
              <w:t xml:space="preserve"> </w:t>
            </w:r>
            <w:r w:rsidRPr="23E84F26">
              <w:rPr>
                <w:rFonts w:ascii="Arial" w:hAnsi="Arial" w:cs="Arial"/>
                <w:sz w:val="22"/>
                <w:szCs w:val="22"/>
                <w:lang w:val="en-US"/>
              </w:rPr>
              <w:t xml:space="preserve">and </w:t>
            </w:r>
            <w:r w:rsidRPr="0018532B">
              <w:rPr>
                <w:rFonts w:ascii="Arial" w:hAnsi="Arial" w:cs="Arial"/>
                <w:sz w:val="22"/>
                <w:szCs w:val="22"/>
                <w:lang w:val="en-US"/>
              </w:rPr>
              <w:t xml:space="preserve">associated </w:t>
            </w:r>
            <w:r w:rsidRPr="23E84F26">
              <w:rPr>
                <w:rFonts w:ascii="Arial" w:hAnsi="Arial" w:cs="Arial"/>
                <w:sz w:val="22"/>
                <w:szCs w:val="22"/>
                <w:lang w:val="en-US"/>
              </w:rPr>
              <w:t>I</w:t>
            </w:r>
            <w:r>
              <w:rPr>
                <w:rFonts w:ascii="Arial" w:hAnsi="Arial" w:cs="Arial"/>
                <w:sz w:val="22"/>
                <w:szCs w:val="22"/>
                <w:lang w:val="en-US"/>
              </w:rPr>
              <w:t>ndigenous and local knowledge</w:t>
            </w:r>
            <w:r w:rsidRPr="23E84F26">
              <w:rPr>
                <w:rFonts w:ascii="Arial" w:hAnsi="Arial" w:cs="Arial"/>
                <w:sz w:val="22"/>
                <w:szCs w:val="22"/>
                <w:lang w:val="en-US"/>
              </w:rPr>
              <w:t>s</w:t>
            </w:r>
            <w:r>
              <w:rPr>
                <w:rFonts w:ascii="Arial" w:hAnsi="Arial" w:cs="Arial"/>
                <w:sz w:val="22"/>
                <w:szCs w:val="22"/>
                <w:lang w:val="en-US"/>
              </w:rPr>
              <w:t xml:space="preserve"> of Aotearoa</w:t>
            </w:r>
            <w:r w:rsidRPr="23E84F26">
              <w:rPr>
                <w:rFonts w:ascii="Arial" w:hAnsi="Arial" w:cs="Arial"/>
                <w:sz w:val="22"/>
                <w:szCs w:val="22"/>
                <w:lang w:val="en-US"/>
              </w:rPr>
              <w:t xml:space="preserve">. Retention of Indigenous </w:t>
            </w:r>
            <w:r w:rsidR="00B93C9E">
              <w:rPr>
                <w:rFonts w:ascii="Arial" w:hAnsi="Arial" w:cs="Arial"/>
                <w:sz w:val="22"/>
                <w:szCs w:val="22"/>
                <w:lang w:val="en-US"/>
              </w:rPr>
              <w:t>an</w:t>
            </w:r>
            <w:r w:rsidR="003B22A7">
              <w:rPr>
                <w:rFonts w:ascii="Arial" w:hAnsi="Arial" w:cs="Arial"/>
                <w:sz w:val="22"/>
                <w:szCs w:val="22"/>
                <w:lang w:val="en-US"/>
              </w:rPr>
              <w:t>d</w:t>
            </w:r>
            <w:r w:rsidR="00B93C9E">
              <w:rPr>
                <w:rFonts w:ascii="Arial" w:hAnsi="Arial" w:cs="Arial"/>
                <w:sz w:val="22"/>
                <w:szCs w:val="22"/>
                <w:lang w:val="en-US"/>
              </w:rPr>
              <w:t xml:space="preserve"> </w:t>
            </w:r>
            <w:r w:rsidRPr="23E84F26">
              <w:rPr>
                <w:rFonts w:ascii="Arial" w:hAnsi="Arial" w:cs="Arial"/>
                <w:sz w:val="22"/>
                <w:szCs w:val="22"/>
                <w:lang w:val="en-US"/>
              </w:rPr>
              <w:t>local</w:t>
            </w:r>
            <w:r w:rsidR="00A607C2">
              <w:rPr>
                <w:rFonts w:ascii="Arial" w:hAnsi="Arial" w:cs="Arial"/>
                <w:sz w:val="22"/>
                <w:szCs w:val="22"/>
                <w:lang w:val="en-US"/>
              </w:rPr>
              <w:t xml:space="preserve"> </w:t>
            </w:r>
            <w:r w:rsidRPr="23E84F26">
              <w:rPr>
                <w:rFonts w:ascii="Arial" w:hAnsi="Arial" w:cs="Arial"/>
                <w:sz w:val="22"/>
                <w:szCs w:val="22"/>
                <w:lang w:val="en-US"/>
              </w:rPr>
              <w:t xml:space="preserve">knowledges has the potential to </w:t>
            </w:r>
            <w:r>
              <w:rPr>
                <w:rFonts w:ascii="Arial" w:hAnsi="Arial" w:cs="Arial"/>
                <w:sz w:val="22"/>
                <w:szCs w:val="22"/>
                <w:lang w:val="en-US"/>
              </w:rPr>
              <w:t>increase</w:t>
            </w:r>
            <w:r w:rsidRPr="23E84F26">
              <w:rPr>
                <w:rFonts w:ascii="Arial" w:hAnsi="Arial" w:cs="Arial"/>
                <w:sz w:val="22"/>
                <w:szCs w:val="22"/>
                <w:lang w:val="en-US"/>
              </w:rPr>
              <w:t xml:space="preserve"> </w:t>
            </w:r>
            <w:r>
              <w:rPr>
                <w:rFonts w:ascii="Arial" w:hAnsi="Arial" w:cs="Arial"/>
                <w:sz w:val="22"/>
                <w:szCs w:val="22"/>
                <w:lang w:val="en-US"/>
              </w:rPr>
              <w:t xml:space="preserve">community resilience (Pearson et al., 2023). </w:t>
            </w:r>
            <w:r w:rsidRPr="0018532B">
              <w:rPr>
                <w:rFonts w:ascii="Arial" w:hAnsi="Arial" w:cs="Arial"/>
                <w:sz w:val="22"/>
                <w:szCs w:val="22"/>
                <w:lang w:val="en-CA"/>
              </w:rPr>
              <w:t xml:space="preserve">Natural hazards and </w:t>
            </w:r>
            <w:r>
              <w:rPr>
                <w:rFonts w:ascii="Arial" w:hAnsi="Arial" w:cs="Arial"/>
                <w:sz w:val="22"/>
                <w:szCs w:val="22"/>
                <w:lang w:val="en-CA"/>
              </w:rPr>
              <w:t>emergency</w:t>
            </w:r>
            <w:r w:rsidRPr="0018532B">
              <w:rPr>
                <w:rFonts w:ascii="Arial" w:hAnsi="Arial" w:cs="Arial"/>
                <w:sz w:val="22"/>
                <w:szCs w:val="22"/>
                <w:lang w:val="en-CA"/>
              </w:rPr>
              <w:t xml:space="preserve"> response and recovery will continue to harm cultural heritage unless a proactive approach to minimise these </w:t>
            </w:r>
            <w:r>
              <w:rPr>
                <w:rFonts w:ascii="Arial" w:hAnsi="Arial" w:cs="Arial"/>
                <w:sz w:val="22"/>
                <w:szCs w:val="22"/>
                <w:lang w:val="en-CA"/>
              </w:rPr>
              <w:t xml:space="preserve">impacts </w:t>
            </w:r>
            <w:r w:rsidRPr="0018532B">
              <w:rPr>
                <w:rFonts w:ascii="Arial" w:hAnsi="Arial" w:cs="Arial"/>
                <w:sz w:val="22"/>
                <w:szCs w:val="22"/>
                <w:lang w:val="en-CA"/>
              </w:rPr>
              <w:t>is taken.</w:t>
            </w:r>
            <w:r w:rsidRPr="0018532B">
              <w:rPr>
                <w:rFonts w:ascii="Arial" w:hAnsi="Arial" w:cs="Arial"/>
                <w:sz w:val="22"/>
                <w:szCs w:val="22"/>
              </w:rPr>
              <w:t> </w:t>
            </w:r>
          </w:p>
          <w:p w14:paraId="6394AAB2" w14:textId="77777777" w:rsidR="00F873EB" w:rsidRPr="0018532B" w:rsidRDefault="00F873EB" w:rsidP="00236175">
            <w:pPr>
              <w:jc w:val="both"/>
              <w:textAlignment w:val="baseline"/>
              <w:rPr>
                <w:rFonts w:ascii="Segoe UI" w:hAnsi="Segoe UI" w:cs="Segoe UI"/>
                <w:sz w:val="18"/>
                <w:szCs w:val="18"/>
              </w:rPr>
            </w:pPr>
          </w:p>
          <w:p w14:paraId="57AD9FF4" w14:textId="77777777" w:rsidR="00236175" w:rsidRDefault="00236175" w:rsidP="00236175">
            <w:pPr>
              <w:jc w:val="both"/>
              <w:textAlignment w:val="baseline"/>
              <w:rPr>
                <w:rFonts w:ascii="Arial" w:hAnsi="Arial" w:cs="Arial"/>
                <w:sz w:val="22"/>
                <w:szCs w:val="22"/>
                <w:lang w:val="en-US"/>
              </w:rPr>
            </w:pPr>
            <w:r w:rsidRPr="0018532B">
              <w:rPr>
                <w:rFonts w:ascii="Arial" w:hAnsi="Arial" w:cs="Arial"/>
                <w:b/>
                <w:bCs/>
                <w:sz w:val="22"/>
                <w:szCs w:val="22"/>
                <w:lang w:val="en-CA"/>
              </w:rPr>
              <w:t>Objectives</w:t>
            </w:r>
          </w:p>
          <w:p w14:paraId="3ADE4A41" w14:textId="54EA782D" w:rsidR="00236175" w:rsidRDefault="00236175" w:rsidP="00236175">
            <w:pPr>
              <w:jc w:val="both"/>
              <w:textAlignment w:val="baseline"/>
              <w:rPr>
                <w:rFonts w:ascii="Arial" w:hAnsi="Arial" w:cs="Arial"/>
                <w:sz w:val="22"/>
                <w:szCs w:val="22"/>
              </w:rPr>
            </w:pPr>
            <w:r w:rsidRPr="0018532B">
              <w:rPr>
                <w:rFonts w:ascii="Arial" w:hAnsi="Arial" w:cs="Arial"/>
                <w:sz w:val="22"/>
                <w:szCs w:val="22"/>
                <w:lang w:val="en-US"/>
              </w:rPr>
              <w:t>The objective of this research is to review relevant legislation and regulatory frameworks including emergency management, heritage</w:t>
            </w:r>
            <w:r w:rsidR="00857CE2">
              <w:rPr>
                <w:rFonts w:ascii="Arial" w:hAnsi="Arial" w:cs="Arial"/>
                <w:sz w:val="22"/>
                <w:szCs w:val="22"/>
                <w:lang w:val="en-US"/>
              </w:rPr>
              <w:t xml:space="preserve">, </w:t>
            </w:r>
            <w:r w:rsidRPr="0018532B">
              <w:rPr>
                <w:rFonts w:ascii="Arial" w:hAnsi="Arial" w:cs="Arial"/>
                <w:sz w:val="22"/>
                <w:szCs w:val="22"/>
                <w:lang w:val="en-US"/>
              </w:rPr>
              <w:t xml:space="preserve">resource management </w:t>
            </w:r>
            <w:r w:rsidR="00857CE2">
              <w:rPr>
                <w:rFonts w:ascii="Arial" w:hAnsi="Arial" w:cs="Arial"/>
                <w:sz w:val="22"/>
                <w:szCs w:val="22"/>
                <w:lang w:val="en-US"/>
              </w:rPr>
              <w:t xml:space="preserve">and climate adaptation </w:t>
            </w:r>
            <w:r w:rsidRPr="0018532B">
              <w:rPr>
                <w:rFonts w:ascii="Arial" w:hAnsi="Arial" w:cs="Arial"/>
                <w:sz w:val="22"/>
                <w:szCs w:val="22"/>
                <w:lang w:val="en-US"/>
              </w:rPr>
              <w:t xml:space="preserve">legislation to analyse </w:t>
            </w:r>
            <w:r w:rsidR="00BA203E">
              <w:rPr>
                <w:rFonts w:ascii="Arial" w:hAnsi="Arial" w:cs="Arial"/>
                <w:sz w:val="22"/>
                <w:szCs w:val="22"/>
                <w:lang w:val="en-US"/>
              </w:rPr>
              <w:t>how effective they are</w:t>
            </w:r>
            <w:r>
              <w:rPr>
                <w:rFonts w:ascii="Arial" w:hAnsi="Arial" w:cs="Arial"/>
                <w:sz w:val="22"/>
                <w:szCs w:val="22"/>
                <w:lang w:val="en-US"/>
              </w:rPr>
              <w:t xml:space="preserve"> in</w:t>
            </w:r>
            <w:r w:rsidRPr="0018532B">
              <w:rPr>
                <w:rFonts w:ascii="Arial" w:hAnsi="Arial" w:cs="Arial"/>
                <w:sz w:val="22"/>
                <w:szCs w:val="22"/>
                <w:lang w:val="en-US"/>
              </w:rPr>
              <w:t xml:space="preserve"> </w:t>
            </w:r>
            <w:r>
              <w:rPr>
                <w:rFonts w:ascii="Arial" w:hAnsi="Arial" w:cs="Arial"/>
                <w:sz w:val="22"/>
                <w:szCs w:val="22"/>
                <w:lang w:val="en-US"/>
              </w:rPr>
              <w:t xml:space="preserve">protecting cultural and ancestral Māori landscapes as Aotearoa adapts to a changing climate. </w:t>
            </w:r>
            <w:r w:rsidRPr="0018532B">
              <w:rPr>
                <w:rFonts w:ascii="Arial" w:hAnsi="Arial" w:cs="Arial"/>
                <w:sz w:val="22"/>
                <w:szCs w:val="22"/>
                <w:lang w:val="en-US"/>
              </w:rPr>
              <w:t>It evaluates gaps in current policies and explores how these gaps contribute to the loss of cultural heritage. The research focuses on Te Matau-a-M</w:t>
            </w:r>
            <w:r>
              <w:rPr>
                <w:rFonts w:ascii="Arial" w:hAnsi="Arial" w:cs="Arial"/>
                <w:sz w:val="22"/>
                <w:szCs w:val="22"/>
                <w:lang w:val="en-US"/>
              </w:rPr>
              <w:t>ā</w:t>
            </w:r>
            <w:r w:rsidRPr="0018532B">
              <w:rPr>
                <w:rFonts w:ascii="Arial" w:hAnsi="Arial" w:cs="Arial"/>
                <w:sz w:val="22"/>
                <w:szCs w:val="22"/>
                <w:lang w:val="en-US"/>
              </w:rPr>
              <w:t>ui (Hawke’s Bay), and Tair</w:t>
            </w:r>
            <w:r>
              <w:rPr>
                <w:rFonts w:ascii="Arial" w:hAnsi="Arial" w:cs="Arial"/>
                <w:sz w:val="22"/>
                <w:szCs w:val="22"/>
                <w:lang w:val="en-US"/>
              </w:rPr>
              <w:t>ā</w:t>
            </w:r>
            <w:r w:rsidRPr="0018532B">
              <w:rPr>
                <w:rFonts w:ascii="Arial" w:hAnsi="Arial" w:cs="Arial"/>
                <w:sz w:val="22"/>
                <w:szCs w:val="22"/>
                <w:lang w:val="en-US"/>
              </w:rPr>
              <w:t>whiti (Gisborne), two regions on the east coast of the North Island of Aotearoa that were severely impacted by Cyclone Gabrielle in 2023.</w:t>
            </w:r>
            <w:r w:rsidRPr="0018532B">
              <w:rPr>
                <w:rFonts w:ascii="Arial" w:hAnsi="Arial" w:cs="Arial"/>
                <w:sz w:val="22"/>
                <w:szCs w:val="22"/>
              </w:rPr>
              <w:t> </w:t>
            </w:r>
          </w:p>
          <w:p w14:paraId="1F13DD99" w14:textId="77777777" w:rsidR="00F873EB" w:rsidRPr="0018532B" w:rsidRDefault="00F873EB" w:rsidP="00236175">
            <w:pPr>
              <w:jc w:val="both"/>
              <w:textAlignment w:val="baseline"/>
              <w:rPr>
                <w:rFonts w:ascii="Segoe UI" w:hAnsi="Segoe UI" w:cs="Segoe UI"/>
                <w:sz w:val="18"/>
                <w:szCs w:val="18"/>
              </w:rPr>
            </w:pPr>
          </w:p>
          <w:p w14:paraId="7CD367B1" w14:textId="77777777" w:rsidR="00236175" w:rsidRPr="0018532B" w:rsidRDefault="00236175" w:rsidP="00236175">
            <w:pPr>
              <w:jc w:val="both"/>
              <w:textAlignment w:val="baseline"/>
              <w:rPr>
                <w:rFonts w:ascii="Segoe UI" w:hAnsi="Segoe UI" w:cs="Segoe UI"/>
                <w:sz w:val="18"/>
                <w:szCs w:val="18"/>
              </w:rPr>
            </w:pPr>
            <w:r w:rsidRPr="0018532B">
              <w:rPr>
                <w:rFonts w:ascii="Arial" w:hAnsi="Arial" w:cs="Arial"/>
                <w:b/>
                <w:bCs/>
                <w:sz w:val="22"/>
                <w:szCs w:val="22"/>
                <w:lang w:val="en-CA"/>
              </w:rPr>
              <w:t>Methodology</w:t>
            </w:r>
          </w:p>
          <w:p w14:paraId="553DE776" w14:textId="77777777" w:rsidR="00236175" w:rsidRDefault="00236175" w:rsidP="00236175">
            <w:pPr>
              <w:jc w:val="both"/>
              <w:textAlignment w:val="baseline"/>
              <w:rPr>
                <w:rFonts w:ascii="Arial" w:hAnsi="Arial" w:cs="Arial"/>
                <w:sz w:val="22"/>
                <w:szCs w:val="22"/>
                <w:lang w:val="en-CA"/>
              </w:rPr>
            </w:pPr>
            <w:r>
              <w:rPr>
                <w:rFonts w:ascii="Arial" w:hAnsi="Arial" w:cs="Arial"/>
                <w:sz w:val="22"/>
                <w:szCs w:val="22"/>
                <w:lang w:val="en-CA"/>
              </w:rPr>
              <w:t>The methodology involves</w:t>
            </w:r>
            <w:r w:rsidRPr="3008EA08">
              <w:rPr>
                <w:rFonts w:ascii="Arial" w:hAnsi="Arial" w:cs="Arial"/>
                <w:sz w:val="22"/>
                <w:szCs w:val="22"/>
                <w:lang w:val="en-CA"/>
              </w:rPr>
              <w:t xml:space="preserve"> review</w:t>
            </w:r>
            <w:r>
              <w:rPr>
                <w:rFonts w:ascii="Arial" w:hAnsi="Arial" w:cs="Arial"/>
                <w:sz w:val="22"/>
                <w:szCs w:val="22"/>
                <w:lang w:val="en-CA"/>
              </w:rPr>
              <w:t xml:space="preserve"> of</w:t>
            </w:r>
            <w:r w:rsidRPr="3008EA08">
              <w:rPr>
                <w:rFonts w:ascii="Arial" w:hAnsi="Arial" w:cs="Arial"/>
                <w:sz w:val="22"/>
                <w:szCs w:val="22"/>
                <w:lang w:val="en-CA"/>
              </w:rPr>
              <w:t xml:space="preserve"> Iwi Management Plans and Local Territorial Authority plans and regulatory frameworks.</w:t>
            </w:r>
            <w:r>
              <w:rPr>
                <w:rFonts w:ascii="Arial" w:hAnsi="Arial" w:cs="Arial"/>
                <w:sz w:val="22"/>
                <w:szCs w:val="22"/>
                <w:lang w:val="en-CA"/>
              </w:rPr>
              <w:t xml:space="preserve"> It also includes</w:t>
            </w:r>
            <w:r w:rsidRPr="0018532B">
              <w:rPr>
                <w:rFonts w:ascii="Arial" w:hAnsi="Arial" w:cs="Arial"/>
                <w:sz w:val="22"/>
                <w:szCs w:val="22"/>
                <w:lang w:val="en-CA"/>
              </w:rPr>
              <w:t xml:space="preserve"> identification </w:t>
            </w:r>
            <w:r>
              <w:rPr>
                <w:rFonts w:ascii="Arial" w:hAnsi="Arial" w:cs="Arial"/>
                <w:sz w:val="22"/>
                <w:szCs w:val="22"/>
                <w:lang w:val="en-CA"/>
              </w:rPr>
              <w:t xml:space="preserve">and analysis </w:t>
            </w:r>
            <w:r w:rsidRPr="0018532B">
              <w:rPr>
                <w:rFonts w:ascii="Arial" w:hAnsi="Arial" w:cs="Arial"/>
                <w:sz w:val="22"/>
                <w:szCs w:val="22"/>
                <w:lang w:val="en-CA"/>
              </w:rPr>
              <w:t xml:space="preserve">of key legislation associated with heritage management, climate change, resource management, emergency management and risk mitigation and recovery. </w:t>
            </w:r>
          </w:p>
          <w:p w14:paraId="342C78AF" w14:textId="77777777" w:rsidR="00F873EB" w:rsidRDefault="00F873EB" w:rsidP="00236175">
            <w:pPr>
              <w:jc w:val="both"/>
              <w:textAlignment w:val="baseline"/>
              <w:rPr>
                <w:rFonts w:ascii="Arial" w:hAnsi="Arial" w:cs="Arial"/>
                <w:sz w:val="22"/>
                <w:szCs w:val="22"/>
                <w:lang w:val="en-CA"/>
              </w:rPr>
            </w:pPr>
          </w:p>
          <w:p w14:paraId="42E584F1" w14:textId="77777777" w:rsidR="00236175" w:rsidRPr="0018532B" w:rsidRDefault="00236175" w:rsidP="00236175">
            <w:pPr>
              <w:jc w:val="both"/>
              <w:textAlignment w:val="baseline"/>
              <w:rPr>
                <w:rFonts w:ascii="Segoe UI" w:hAnsi="Segoe UI" w:cs="Segoe UI"/>
                <w:sz w:val="18"/>
                <w:szCs w:val="18"/>
                <w:lang w:val="en-US"/>
              </w:rPr>
            </w:pPr>
            <w:r w:rsidRPr="0018532B">
              <w:rPr>
                <w:rFonts w:ascii="Arial" w:hAnsi="Arial" w:cs="Arial"/>
                <w:b/>
                <w:bCs/>
                <w:sz w:val="22"/>
                <w:szCs w:val="22"/>
                <w:lang w:val="en-US"/>
              </w:rPr>
              <w:t>Findings</w:t>
            </w:r>
          </w:p>
          <w:p w14:paraId="7A29DAAD" w14:textId="6C9612AA" w:rsidR="00236175" w:rsidRDefault="00236175" w:rsidP="00236175">
            <w:pPr>
              <w:jc w:val="both"/>
              <w:textAlignment w:val="baseline"/>
              <w:rPr>
                <w:rFonts w:ascii="Arial" w:hAnsi="Arial" w:cs="Arial"/>
                <w:sz w:val="22"/>
                <w:szCs w:val="22"/>
                <w:lang w:val="en-US"/>
              </w:rPr>
            </w:pPr>
            <w:r w:rsidRPr="0018532B">
              <w:rPr>
                <w:rFonts w:ascii="Arial" w:hAnsi="Arial" w:cs="Arial"/>
                <w:sz w:val="22"/>
                <w:szCs w:val="22"/>
                <w:lang w:val="en-US"/>
              </w:rPr>
              <w:t>Gaps in the legislation and regulatory frameworks associated with protecting cultural heritage in Aotearoa were identified. The term “heritage”, and in particular the terms “cultural heritage”, “cultural landscapes” or “cultural heritage landscapes</w:t>
            </w:r>
            <w:r>
              <w:rPr>
                <w:rFonts w:ascii="Arial" w:hAnsi="Arial" w:cs="Arial"/>
                <w:sz w:val="22"/>
                <w:szCs w:val="22"/>
                <w:lang w:val="en-US"/>
              </w:rPr>
              <w:t>”</w:t>
            </w:r>
            <w:r w:rsidRPr="0018532B">
              <w:rPr>
                <w:rFonts w:ascii="Arial" w:hAnsi="Arial" w:cs="Arial"/>
                <w:sz w:val="22"/>
                <w:szCs w:val="22"/>
                <w:lang w:val="en-US"/>
              </w:rPr>
              <w:t xml:space="preserve"> did not exist in much of the legislation. </w:t>
            </w:r>
            <w:r w:rsidRPr="57BB49F1">
              <w:rPr>
                <w:rFonts w:ascii="Arial" w:hAnsi="Arial" w:cs="Arial"/>
                <w:sz w:val="22"/>
                <w:szCs w:val="22"/>
                <w:lang w:val="en-US"/>
              </w:rPr>
              <w:t xml:space="preserve">Iwi and community led management plans were most likely to identify areas of cultural heritage value and address protection and mitigation measures. </w:t>
            </w:r>
            <w:r w:rsidRPr="0018532B">
              <w:rPr>
                <w:rFonts w:ascii="Arial" w:hAnsi="Arial" w:cs="Arial"/>
                <w:sz w:val="22"/>
                <w:szCs w:val="22"/>
                <w:lang w:val="en-US"/>
              </w:rPr>
              <w:t xml:space="preserve">There was also no consistency in terms used in the Territorial Local Authority Plans. </w:t>
            </w:r>
          </w:p>
          <w:p w14:paraId="16610D2D" w14:textId="77777777" w:rsidR="00F873EB" w:rsidRPr="0018532B" w:rsidRDefault="00F873EB" w:rsidP="00236175">
            <w:pPr>
              <w:jc w:val="both"/>
              <w:textAlignment w:val="baseline"/>
              <w:rPr>
                <w:rFonts w:ascii="Segoe UI" w:hAnsi="Segoe UI" w:cs="Segoe UI"/>
                <w:sz w:val="18"/>
                <w:szCs w:val="18"/>
                <w:lang w:val="en-US"/>
              </w:rPr>
            </w:pPr>
          </w:p>
          <w:p w14:paraId="32B729D7" w14:textId="77777777" w:rsidR="00236175" w:rsidRPr="0018532B" w:rsidRDefault="00236175" w:rsidP="00236175">
            <w:pPr>
              <w:jc w:val="both"/>
              <w:textAlignment w:val="baseline"/>
              <w:rPr>
                <w:rFonts w:ascii="Segoe UI" w:hAnsi="Segoe UI" w:cs="Segoe UI"/>
                <w:sz w:val="18"/>
                <w:szCs w:val="18"/>
                <w:lang w:val="en-US"/>
              </w:rPr>
            </w:pPr>
            <w:r w:rsidRPr="0018532B">
              <w:rPr>
                <w:rFonts w:ascii="Arial" w:hAnsi="Arial" w:cs="Arial"/>
                <w:b/>
                <w:bCs/>
                <w:sz w:val="22"/>
                <w:szCs w:val="22"/>
                <w:lang w:val="en-CA"/>
              </w:rPr>
              <w:t>Significance of the work for policy and practice</w:t>
            </w:r>
          </w:p>
          <w:p w14:paraId="37CCF4D9" w14:textId="77777777" w:rsidR="00236175" w:rsidRPr="0018532B" w:rsidRDefault="00236175" w:rsidP="00236175">
            <w:pPr>
              <w:jc w:val="both"/>
              <w:textAlignment w:val="baseline"/>
              <w:rPr>
                <w:rFonts w:ascii="Segoe UI" w:hAnsi="Segoe UI" w:cs="Segoe UI"/>
                <w:sz w:val="18"/>
                <w:szCs w:val="18"/>
              </w:rPr>
            </w:pPr>
            <w:r w:rsidRPr="0018532B">
              <w:rPr>
                <w:rFonts w:ascii="Arial" w:hAnsi="Arial" w:cs="Arial"/>
                <w:sz w:val="22"/>
                <w:szCs w:val="22"/>
                <w:lang w:val="en-US"/>
              </w:rPr>
              <w:t xml:space="preserve">This paper highlights the urgent need for </w:t>
            </w:r>
            <w:r>
              <w:rPr>
                <w:rFonts w:ascii="Arial" w:hAnsi="Arial" w:cs="Arial"/>
                <w:sz w:val="22"/>
                <w:szCs w:val="22"/>
                <w:lang w:val="en-US"/>
              </w:rPr>
              <w:t xml:space="preserve">the development of </w:t>
            </w:r>
            <w:r w:rsidRPr="0018532B">
              <w:rPr>
                <w:rFonts w:ascii="Arial" w:hAnsi="Arial" w:cs="Arial"/>
                <w:sz w:val="22"/>
                <w:szCs w:val="22"/>
                <w:lang w:val="en-US"/>
              </w:rPr>
              <w:t xml:space="preserve">revised legislation and </w:t>
            </w:r>
            <w:r>
              <w:rPr>
                <w:rFonts w:ascii="Arial" w:hAnsi="Arial" w:cs="Arial"/>
                <w:sz w:val="22"/>
                <w:szCs w:val="22"/>
                <w:lang w:val="en-US"/>
              </w:rPr>
              <w:t xml:space="preserve">regulatory frameworks. It also identifies the need for </w:t>
            </w:r>
            <w:r w:rsidRPr="0018532B">
              <w:rPr>
                <w:rFonts w:ascii="Arial" w:hAnsi="Arial" w:cs="Arial"/>
                <w:sz w:val="22"/>
                <w:szCs w:val="22"/>
                <w:lang w:val="en-US"/>
              </w:rPr>
              <w:t xml:space="preserve">proactive planning and coordination between mana whenua, local communities, government agencies, emergency </w:t>
            </w:r>
            <w:r w:rsidRPr="0018532B">
              <w:rPr>
                <w:rFonts w:ascii="Arial" w:hAnsi="Arial" w:cs="Arial"/>
                <w:sz w:val="22"/>
                <w:szCs w:val="22"/>
                <w:lang w:val="en-US"/>
              </w:rPr>
              <w:lastRenderedPageBreak/>
              <w:t xml:space="preserve">managers, heritage professionals and planners. Closing legislative gaps and enhancing </w:t>
            </w:r>
            <w:r>
              <w:rPr>
                <w:rFonts w:ascii="Arial" w:hAnsi="Arial" w:cs="Arial"/>
                <w:sz w:val="22"/>
                <w:szCs w:val="22"/>
                <w:lang w:val="en-US"/>
              </w:rPr>
              <w:t>natural hazard</w:t>
            </w:r>
            <w:r w:rsidRPr="0018532B">
              <w:rPr>
                <w:rFonts w:ascii="Arial" w:hAnsi="Arial" w:cs="Arial"/>
                <w:sz w:val="22"/>
                <w:szCs w:val="22"/>
                <w:lang w:val="en-US"/>
              </w:rPr>
              <w:t xml:space="preserve"> response and recovery strategies will better protect cultural heritage which in turn </w:t>
            </w:r>
            <w:r>
              <w:rPr>
                <w:rFonts w:ascii="Arial" w:hAnsi="Arial" w:cs="Arial"/>
                <w:sz w:val="22"/>
                <w:szCs w:val="22"/>
                <w:lang w:val="en-US"/>
              </w:rPr>
              <w:t xml:space="preserve">may </w:t>
            </w:r>
            <w:r w:rsidRPr="0018532B">
              <w:rPr>
                <w:rFonts w:ascii="Arial" w:hAnsi="Arial" w:cs="Arial"/>
                <w:sz w:val="22"/>
                <w:szCs w:val="22"/>
                <w:lang w:val="en-US"/>
              </w:rPr>
              <w:t>contribute to increasing community resilience as we adapt to a changing climate.</w:t>
            </w:r>
            <w:r w:rsidRPr="0018532B">
              <w:rPr>
                <w:rFonts w:ascii="Arial" w:hAnsi="Arial" w:cs="Arial"/>
                <w:sz w:val="22"/>
                <w:szCs w:val="22"/>
              </w:rPr>
              <w:t> </w:t>
            </w:r>
          </w:p>
          <w:p w14:paraId="4CD9F735" w14:textId="77777777" w:rsidR="00236175" w:rsidRPr="0018532B" w:rsidRDefault="00236175" w:rsidP="00236175">
            <w:pPr>
              <w:jc w:val="both"/>
              <w:textAlignment w:val="baseline"/>
              <w:rPr>
                <w:rFonts w:ascii="Segoe UI" w:hAnsi="Segoe UI" w:cs="Segoe UI"/>
                <w:sz w:val="18"/>
                <w:szCs w:val="18"/>
                <w:lang w:val="en-US"/>
              </w:rPr>
            </w:pPr>
            <w:r w:rsidRPr="0018532B">
              <w:rPr>
                <w:rFonts w:ascii="Arial" w:hAnsi="Arial" w:cs="Arial"/>
                <w:sz w:val="22"/>
                <w:szCs w:val="22"/>
                <w:lang w:val="en-US"/>
              </w:rPr>
              <w:t> </w:t>
            </w:r>
          </w:p>
          <w:p w14:paraId="60ED85F1" w14:textId="77777777" w:rsidR="00236175" w:rsidRDefault="00236175" w:rsidP="00236175">
            <w:pPr>
              <w:ind w:left="480" w:hanging="480"/>
              <w:jc w:val="both"/>
              <w:textAlignment w:val="baseline"/>
              <w:rPr>
                <w:rFonts w:ascii="Arial" w:hAnsi="Arial" w:cs="Arial"/>
                <w:sz w:val="22"/>
                <w:szCs w:val="22"/>
                <w:lang w:val="en-US"/>
              </w:rPr>
            </w:pPr>
            <w:r w:rsidRPr="0018532B">
              <w:rPr>
                <w:rFonts w:ascii="Arial" w:hAnsi="Arial" w:cs="Arial"/>
                <w:sz w:val="22"/>
                <w:szCs w:val="22"/>
                <w:lang w:val="en-US"/>
              </w:rPr>
              <w:t xml:space="preserve">ICOMOS Climate Change and Cultural Heritage Working Group. (2019). </w:t>
            </w:r>
            <w:r w:rsidRPr="0018532B">
              <w:rPr>
                <w:rFonts w:ascii="Arial" w:hAnsi="Arial" w:cs="Arial"/>
                <w:i/>
                <w:iCs/>
                <w:sz w:val="22"/>
                <w:szCs w:val="22"/>
                <w:lang w:val="en-US"/>
              </w:rPr>
              <w:t>The Future of Our Pasts: Engaging Cultural Heritage in Climate Action</w:t>
            </w:r>
            <w:r w:rsidRPr="0018532B">
              <w:rPr>
                <w:rFonts w:ascii="Arial" w:hAnsi="Arial" w:cs="Arial"/>
                <w:sz w:val="22"/>
                <w:szCs w:val="22"/>
                <w:lang w:val="en-US"/>
              </w:rPr>
              <w:t>. International Council on Monuments and Sites - ICOMOS. </w:t>
            </w:r>
          </w:p>
          <w:p w14:paraId="27615F66" w14:textId="77777777" w:rsidR="00BA203E" w:rsidRPr="0018532B" w:rsidRDefault="00BA203E" w:rsidP="00236175">
            <w:pPr>
              <w:ind w:left="480" w:hanging="480"/>
              <w:jc w:val="both"/>
              <w:textAlignment w:val="baseline"/>
              <w:rPr>
                <w:rFonts w:ascii="Arial" w:hAnsi="Arial" w:cs="Arial"/>
                <w:sz w:val="22"/>
                <w:szCs w:val="22"/>
                <w:lang w:val="en-US"/>
              </w:rPr>
            </w:pPr>
          </w:p>
          <w:p w14:paraId="133858A7" w14:textId="77777777" w:rsidR="00236175" w:rsidRDefault="00236175" w:rsidP="00236175">
            <w:pPr>
              <w:ind w:left="480" w:hanging="480"/>
              <w:jc w:val="both"/>
              <w:textAlignment w:val="baseline"/>
              <w:rPr>
                <w:rFonts w:ascii="Arial" w:hAnsi="Arial" w:cs="Arial"/>
                <w:sz w:val="22"/>
                <w:szCs w:val="22"/>
                <w:lang w:val="en-US"/>
              </w:rPr>
            </w:pPr>
            <w:r w:rsidRPr="0018532B">
              <w:rPr>
                <w:rFonts w:ascii="Arial" w:hAnsi="Arial" w:cs="Arial"/>
                <w:sz w:val="22"/>
                <w:szCs w:val="22"/>
                <w:lang w:val="en-US"/>
              </w:rPr>
              <w:t xml:space="preserve">Ministry </w:t>
            </w:r>
            <w:proofErr w:type="gramStart"/>
            <w:r w:rsidRPr="0018532B">
              <w:rPr>
                <w:rFonts w:ascii="Arial" w:hAnsi="Arial" w:cs="Arial"/>
                <w:sz w:val="22"/>
                <w:szCs w:val="22"/>
                <w:lang w:val="en-US"/>
              </w:rPr>
              <w:t>for</w:t>
            </w:r>
            <w:proofErr w:type="gramEnd"/>
            <w:r w:rsidRPr="0018532B">
              <w:rPr>
                <w:rFonts w:ascii="Arial" w:hAnsi="Arial" w:cs="Arial"/>
                <w:sz w:val="22"/>
                <w:szCs w:val="22"/>
                <w:lang w:val="en-US"/>
              </w:rPr>
              <w:t xml:space="preserve"> the Environment. (2022). </w:t>
            </w:r>
            <w:r w:rsidRPr="0018532B">
              <w:rPr>
                <w:rFonts w:ascii="Arial" w:hAnsi="Arial" w:cs="Arial"/>
                <w:i/>
                <w:iCs/>
                <w:sz w:val="22"/>
                <w:szCs w:val="22"/>
                <w:lang w:val="en-US"/>
              </w:rPr>
              <w:t xml:space="preserve">Te hau </w:t>
            </w:r>
            <w:proofErr w:type="spellStart"/>
            <w:r w:rsidRPr="0018532B">
              <w:rPr>
                <w:rFonts w:ascii="Arial" w:hAnsi="Arial" w:cs="Arial"/>
                <w:i/>
                <w:iCs/>
                <w:sz w:val="22"/>
                <w:szCs w:val="22"/>
                <w:lang w:val="en-US"/>
              </w:rPr>
              <w:t>mārohi</w:t>
            </w:r>
            <w:proofErr w:type="spellEnd"/>
            <w:r w:rsidRPr="0018532B">
              <w:rPr>
                <w:rFonts w:ascii="Arial" w:hAnsi="Arial" w:cs="Arial"/>
                <w:i/>
                <w:iCs/>
                <w:sz w:val="22"/>
                <w:szCs w:val="22"/>
                <w:lang w:val="en-US"/>
              </w:rPr>
              <w:t xml:space="preserve"> ki </w:t>
            </w:r>
            <w:proofErr w:type="spellStart"/>
            <w:r w:rsidRPr="0018532B">
              <w:rPr>
                <w:rFonts w:ascii="Arial" w:hAnsi="Arial" w:cs="Arial"/>
                <w:i/>
                <w:iCs/>
                <w:sz w:val="22"/>
                <w:szCs w:val="22"/>
                <w:lang w:val="en-US"/>
              </w:rPr>
              <w:t>anamata</w:t>
            </w:r>
            <w:proofErr w:type="spellEnd"/>
            <w:r w:rsidRPr="0018532B">
              <w:rPr>
                <w:rFonts w:ascii="Arial" w:hAnsi="Arial" w:cs="Arial"/>
                <w:i/>
                <w:iCs/>
                <w:sz w:val="22"/>
                <w:szCs w:val="22"/>
                <w:lang w:val="en-US"/>
              </w:rPr>
              <w:t>. Towards a productive, sustainable and inclusive economy. Aotearoa New Zealand’s First Emissions Reduction Plan.</w:t>
            </w:r>
            <w:r w:rsidRPr="0018532B">
              <w:rPr>
                <w:rFonts w:ascii="Arial" w:hAnsi="Arial" w:cs="Arial"/>
                <w:sz w:val="22"/>
                <w:szCs w:val="22"/>
                <w:lang w:val="en-US"/>
              </w:rPr>
              <w:t xml:space="preserve"> Ministry for the Environment </w:t>
            </w:r>
            <w:proofErr w:type="spellStart"/>
            <w:r w:rsidRPr="0018532B">
              <w:rPr>
                <w:rFonts w:ascii="Arial" w:hAnsi="Arial" w:cs="Arial"/>
                <w:sz w:val="22"/>
                <w:szCs w:val="22"/>
                <w:lang w:val="en-US"/>
              </w:rPr>
              <w:t>Manatū</w:t>
            </w:r>
            <w:proofErr w:type="spellEnd"/>
            <w:r w:rsidRPr="0018532B">
              <w:rPr>
                <w:rFonts w:ascii="Arial" w:hAnsi="Arial" w:cs="Arial"/>
                <w:sz w:val="22"/>
                <w:szCs w:val="22"/>
                <w:lang w:val="en-US"/>
              </w:rPr>
              <w:t xml:space="preserve"> </w:t>
            </w:r>
            <w:proofErr w:type="spellStart"/>
            <w:r w:rsidRPr="0018532B">
              <w:rPr>
                <w:rFonts w:ascii="Arial" w:hAnsi="Arial" w:cs="Arial"/>
                <w:sz w:val="22"/>
                <w:szCs w:val="22"/>
                <w:lang w:val="en-US"/>
              </w:rPr>
              <w:t>Mō</w:t>
            </w:r>
            <w:proofErr w:type="spellEnd"/>
            <w:r w:rsidRPr="0018532B">
              <w:rPr>
                <w:rFonts w:ascii="Arial" w:hAnsi="Arial" w:cs="Arial"/>
                <w:sz w:val="22"/>
                <w:szCs w:val="22"/>
                <w:lang w:val="en-US"/>
              </w:rPr>
              <w:t xml:space="preserve"> Te Taiao. </w:t>
            </w:r>
            <w:hyperlink r:id="rId8" w:tgtFrame="_blank" w:history="1">
              <w:r w:rsidRPr="0018532B">
                <w:rPr>
                  <w:rFonts w:ascii="Arial" w:hAnsi="Arial" w:cs="Arial"/>
                  <w:color w:val="0000FF"/>
                  <w:sz w:val="22"/>
                  <w:szCs w:val="22"/>
                  <w:u w:val="single"/>
                  <w:lang w:val="en-US"/>
                </w:rPr>
                <w:t>https://environment.govt.nz/assets/publications/Aotearoa-New-Zealands-first-emissions-reduction-plan.pdf</w:t>
              </w:r>
            </w:hyperlink>
            <w:r w:rsidRPr="0018532B">
              <w:rPr>
                <w:rFonts w:ascii="Arial" w:hAnsi="Arial" w:cs="Arial"/>
                <w:sz w:val="22"/>
                <w:szCs w:val="22"/>
                <w:lang w:val="en-US"/>
              </w:rPr>
              <w:t> </w:t>
            </w:r>
          </w:p>
          <w:p w14:paraId="73ADB9EF" w14:textId="77777777" w:rsidR="00236175" w:rsidRPr="001073D5" w:rsidRDefault="00236175" w:rsidP="00236175">
            <w:pPr>
              <w:ind w:left="480" w:hanging="480"/>
              <w:jc w:val="both"/>
              <w:textAlignment w:val="baseline"/>
              <w:rPr>
                <w:rFonts w:ascii="Arial" w:hAnsi="Arial" w:cs="Arial"/>
                <w:sz w:val="22"/>
                <w:szCs w:val="22"/>
                <w:lang w:val="en-US"/>
              </w:rPr>
            </w:pPr>
          </w:p>
          <w:p w14:paraId="6AC2F9A9" w14:textId="77777777" w:rsidR="00236175" w:rsidRDefault="00236175" w:rsidP="00236175">
            <w:pPr>
              <w:ind w:left="480" w:hanging="480"/>
              <w:jc w:val="both"/>
              <w:textAlignment w:val="baseline"/>
              <w:rPr>
                <w:rFonts w:ascii="Arial" w:hAnsi="Arial" w:cs="Arial"/>
                <w:sz w:val="22"/>
                <w:szCs w:val="22"/>
                <w:lang w:val="en-US"/>
              </w:rPr>
            </w:pPr>
            <w:r w:rsidRPr="001073D5">
              <w:rPr>
                <w:rFonts w:ascii="Arial" w:hAnsi="Arial" w:cs="Arial"/>
                <w:sz w:val="22"/>
                <w:szCs w:val="22"/>
                <w:lang w:val="en-US"/>
              </w:rPr>
              <w:t xml:space="preserve">Pearson, J., Jackson, G., &amp; McNamara, K. E. (2023). Climate-driven losses to knowledge systems and cultural heritage: A literature review exploring the impacts on Indigenous and local cultures. </w:t>
            </w:r>
            <w:r w:rsidRPr="006D76A2">
              <w:rPr>
                <w:rFonts w:ascii="Arial" w:hAnsi="Arial" w:cs="Arial"/>
                <w:i/>
                <w:iCs/>
                <w:sz w:val="22"/>
                <w:szCs w:val="22"/>
                <w:lang w:val="en-US"/>
              </w:rPr>
              <w:t>The Anthropocene Review, 10(2), 343–366</w:t>
            </w:r>
            <w:r w:rsidRPr="001073D5">
              <w:rPr>
                <w:rFonts w:ascii="Arial" w:hAnsi="Arial" w:cs="Arial"/>
                <w:sz w:val="22"/>
                <w:szCs w:val="22"/>
                <w:lang w:val="en-US"/>
              </w:rPr>
              <w:t xml:space="preserve">. </w:t>
            </w:r>
            <w:hyperlink r:id="rId9" w:history="1">
              <w:r w:rsidRPr="009A2841">
                <w:rPr>
                  <w:rStyle w:val="Hyperlink"/>
                  <w:rFonts w:ascii="Arial" w:hAnsi="Arial" w:cs="Arial"/>
                  <w:sz w:val="22"/>
                  <w:szCs w:val="22"/>
                  <w:lang w:val="en-US"/>
                </w:rPr>
                <w:t>https://doi.org/10.1177/20530196211005482</w:t>
              </w:r>
            </w:hyperlink>
          </w:p>
          <w:p w14:paraId="54F0C1B4" w14:textId="77777777" w:rsidR="00236175" w:rsidRPr="0018532B" w:rsidRDefault="00236175" w:rsidP="00236175">
            <w:pPr>
              <w:ind w:left="480" w:hanging="480"/>
              <w:jc w:val="both"/>
              <w:textAlignment w:val="baseline"/>
              <w:rPr>
                <w:rFonts w:ascii="Arial" w:hAnsi="Arial" w:cs="Arial"/>
                <w:sz w:val="22"/>
                <w:szCs w:val="22"/>
                <w:lang w:val="en-US"/>
              </w:rPr>
            </w:pPr>
          </w:p>
          <w:p w14:paraId="50D3F410" w14:textId="4C66E946" w:rsidR="00236175" w:rsidRPr="0018532B" w:rsidRDefault="00236175" w:rsidP="00BA203E">
            <w:pPr>
              <w:ind w:left="480" w:hanging="480"/>
              <w:jc w:val="both"/>
              <w:textAlignment w:val="baseline"/>
              <w:rPr>
                <w:rFonts w:ascii="Segoe UI" w:hAnsi="Segoe UI" w:cs="Segoe UI"/>
                <w:sz w:val="18"/>
                <w:szCs w:val="18"/>
                <w:lang w:val="en-US"/>
              </w:rPr>
            </w:pPr>
            <w:r w:rsidRPr="0018532B">
              <w:rPr>
                <w:lang w:val="en-US"/>
              </w:rPr>
              <w:t> </w:t>
            </w:r>
          </w:p>
          <w:p w14:paraId="2CBAECD6" w14:textId="3A6FB7AA" w:rsidR="009F4EA0" w:rsidRPr="000D7047" w:rsidRDefault="00236175" w:rsidP="00F873EB">
            <w:pPr>
              <w:jc w:val="both"/>
              <w:textAlignment w:val="baseline"/>
              <w:rPr>
                <w:rFonts w:ascii="Arial" w:hAnsi="Arial" w:cs="Arial"/>
                <w:b/>
                <w:sz w:val="22"/>
                <w:szCs w:val="22"/>
              </w:rPr>
            </w:pPr>
            <w:r w:rsidRPr="0018532B">
              <w:rPr>
                <w:rFonts w:ascii="Arial" w:hAnsi="Arial" w:cs="Arial"/>
                <w:sz w:val="22"/>
                <w:szCs w:val="22"/>
              </w:rPr>
              <w:t> </w:t>
            </w: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7C547C62"/>
    <w:multiLevelType w:val="multilevel"/>
    <w:tmpl w:val="315CEC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416439391">
    <w:abstractNumId w:val="0"/>
  </w:num>
  <w:num w:numId="2" w16cid:durableId="1027095654">
    <w:abstractNumId w:val="2"/>
  </w:num>
  <w:num w:numId="3" w16cid:durableId="1316374630">
    <w:abstractNumId w:val="1"/>
  </w:num>
  <w:num w:numId="4" w16cid:durableId="1207571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36175"/>
    <w:rsid w:val="00247C60"/>
    <w:rsid w:val="00256963"/>
    <w:rsid w:val="002E3AA3"/>
    <w:rsid w:val="00317356"/>
    <w:rsid w:val="0034503D"/>
    <w:rsid w:val="00354C31"/>
    <w:rsid w:val="00375B20"/>
    <w:rsid w:val="00386D01"/>
    <w:rsid w:val="003B22A7"/>
    <w:rsid w:val="004049E7"/>
    <w:rsid w:val="00462B90"/>
    <w:rsid w:val="004828A0"/>
    <w:rsid w:val="004929BB"/>
    <w:rsid w:val="004B69C7"/>
    <w:rsid w:val="004D193B"/>
    <w:rsid w:val="004F4CE8"/>
    <w:rsid w:val="004F5C81"/>
    <w:rsid w:val="0053222C"/>
    <w:rsid w:val="005469BD"/>
    <w:rsid w:val="00550B17"/>
    <w:rsid w:val="005854B8"/>
    <w:rsid w:val="0065012F"/>
    <w:rsid w:val="0068043B"/>
    <w:rsid w:val="00681CA7"/>
    <w:rsid w:val="008235E8"/>
    <w:rsid w:val="00857CE2"/>
    <w:rsid w:val="008773DF"/>
    <w:rsid w:val="008B01BA"/>
    <w:rsid w:val="008B50A0"/>
    <w:rsid w:val="008C0C35"/>
    <w:rsid w:val="008C22AD"/>
    <w:rsid w:val="008C2633"/>
    <w:rsid w:val="008E3D8D"/>
    <w:rsid w:val="008F2F93"/>
    <w:rsid w:val="009010B0"/>
    <w:rsid w:val="00906B39"/>
    <w:rsid w:val="00963443"/>
    <w:rsid w:val="009C374A"/>
    <w:rsid w:val="009F4EA0"/>
    <w:rsid w:val="00A607C2"/>
    <w:rsid w:val="00B026E8"/>
    <w:rsid w:val="00B93C9E"/>
    <w:rsid w:val="00BA0872"/>
    <w:rsid w:val="00BA203E"/>
    <w:rsid w:val="00BA26BB"/>
    <w:rsid w:val="00BC6810"/>
    <w:rsid w:val="00BE0B4D"/>
    <w:rsid w:val="00BE58D6"/>
    <w:rsid w:val="00C26081"/>
    <w:rsid w:val="00C4126D"/>
    <w:rsid w:val="00C61C17"/>
    <w:rsid w:val="00C76C99"/>
    <w:rsid w:val="00C8423A"/>
    <w:rsid w:val="00CE53FE"/>
    <w:rsid w:val="00D716AD"/>
    <w:rsid w:val="00DB7929"/>
    <w:rsid w:val="00DD1BB3"/>
    <w:rsid w:val="00E612FF"/>
    <w:rsid w:val="00EB1B31"/>
    <w:rsid w:val="00F818D6"/>
    <w:rsid w:val="00F873EB"/>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styleId="Hyperlink">
    <w:name w:val="Hyperlink"/>
    <w:basedOn w:val="DefaultParagraphFont"/>
    <w:uiPriority w:val="99"/>
    <w:unhideWhenUsed/>
    <w:rsid w:val="002361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vironment.govt.nz/assets/publications/Aotearoa-New-Zealands-first-emissions-reduction-plan.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177/205301962110054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ACEE01E1-7333-4F3A-AAB6-EDA51AE09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5252D-E591-453A-8164-E6940B4D4083}">
  <ds:schemaRefs>
    <ds:schemaRef ds:uri="9c8a2b7b-0bee-4c48-b0a6-23db8982d3bc"/>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 ds:uri="6911e96c-4cc4-42d5-8e43-f93924cf6a05"/>
    <ds:schemaRef ds:uri="http://schemas.microsoft.com/office/2006/metadata/properties"/>
    <ds:schemaRef ds:uri="http://schemas.microsoft.com/office/infopath/2007/PartnerControls"/>
    <ds:schemaRef ds:uri="cab52c9b-ab33-4221-8af9-54f8f2b86a80"/>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663</Words>
  <Characters>3783</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6</cp:revision>
  <dcterms:created xsi:type="dcterms:W3CDTF">2025-02-28T05:25:00Z</dcterms:created>
  <dcterms:modified xsi:type="dcterms:W3CDTF">2025-08-10T19:09:00Z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