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60B6C767" w:rsidR="001564A4" w:rsidRPr="0050053A" w:rsidRDefault="00EE177E" w:rsidP="00152A49">
            <w:pPr>
              <w:spacing w:before="120" w:after="120"/>
              <w:rPr>
                <w:rFonts w:ascii="Arial" w:hAnsi="Arial" w:cs="Arial"/>
                <w:b/>
                <w:sz w:val="22"/>
                <w:szCs w:val="22"/>
                <w:lang w:val="en-US" w:eastAsia="zh-CN"/>
              </w:rPr>
            </w:pPr>
            <w:bookmarkStart w:id="0" w:name="_GoBack"/>
            <w:r w:rsidRPr="00EE177E">
              <w:rPr>
                <w:rFonts w:ascii="Arial" w:hAnsi="Arial" w:cs="Arial"/>
                <w:b/>
                <w:sz w:val="22"/>
                <w:szCs w:val="22"/>
                <w:lang w:val="en-US" w:eastAsia="zh-CN"/>
              </w:rPr>
              <w:t>IL-33 induced neutrophilic i</w:t>
            </w:r>
            <w:r w:rsidR="00152A49">
              <w:rPr>
                <w:rFonts w:ascii="Arial" w:hAnsi="Arial" w:cs="Arial"/>
                <w:b/>
                <w:sz w:val="22"/>
                <w:szCs w:val="22"/>
                <w:lang w:val="en-US" w:eastAsia="zh-CN"/>
              </w:rPr>
              <w:t xml:space="preserve">nflammation and </w:t>
            </w:r>
            <w:bookmarkEnd w:id="0"/>
            <w:proofErr w:type="spellStart"/>
            <w:r w:rsidR="00152A49">
              <w:rPr>
                <w:rFonts w:ascii="Arial" w:hAnsi="Arial" w:cs="Arial"/>
                <w:b/>
                <w:sz w:val="22"/>
                <w:szCs w:val="22"/>
                <w:lang w:val="en-US" w:eastAsia="zh-CN"/>
              </w:rPr>
              <w:t>NETosis</w:t>
            </w:r>
            <w:proofErr w:type="spellEnd"/>
            <w:r w:rsidR="00152A49">
              <w:rPr>
                <w:rFonts w:ascii="Arial" w:hAnsi="Arial" w:cs="Arial"/>
                <w:b/>
                <w:sz w:val="22"/>
                <w:szCs w:val="22"/>
                <w:lang w:val="en-US" w:eastAsia="zh-CN"/>
              </w:rPr>
              <w:t xml:space="preserve"> underlie</w:t>
            </w:r>
            <w:r w:rsidRPr="00EE177E">
              <w:rPr>
                <w:rFonts w:ascii="Arial" w:hAnsi="Arial" w:cs="Arial"/>
                <w:b/>
                <w:sz w:val="22"/>
                <w:szCs w:val="22"/>
                <w:lang w:val="en-US" w:eastAsia="zh-CN"/>
              </w:rPr>
              <w:t xml:space="preserve"> </w:t>
            </w:r>
            <w:r w:rsidR="00152A49">
              <w:rPr>
                <w:rFonts w:ascii="Arial" w:hAnsi="Arial" w:cs="Arial"/>
                <w:b/>
                <w:sz w:val="22"/>
                <w:szCs w:val="22"/>
                <w:lang w:val="en-US" w:eastAsia="zh-CN"/>
              </w:rPr>
              <w:t>rhinovirus-triggered exacerbations of asthma.</w:t>
            </w:r>
          </w:p>
        </w:tc>
      </w:tr>
      <w:tr w:rsidR="001564A4" w:rsidRPr="0050053A" w14:paraId="0E2E035C" w14:textId="77777777" w:rsidTr="000A28E2">
        <w:trPr>
          <w:jc w:val="center"/>
        </w:trPr>
        <w:tc>
          <w:tcPr>
            <w:tcW w:w="8640" w:type="dxa"/>
            <w:shd w:val="clear" w:color="auto" w:fill="auto"/>
          </w:tcPr>
          <w:p w14:paraId="73B55295" w14:textId="6923A342" w:rsidR="001564A4" w:rsidRPr="00EE177E" w:rsidRDefault="00EE177E" w:rsidP="000A28E2">
            <w:pPr>
              <w:spacing w:before="120" w:after="120"/>
              <w:rPr>
                <w:rFonts w:ascii="Arial" w:hAnsi="Arial" w:cs="Arial"/>
                <w:sz w:val="22"/>
                <w:szCs w:val="22"/>
                <w:lang w:eastAsia="zh-CN"/>
              </w:rPr>
            </w:pPr>
            <w:r w:rsidRPr="00EE177E">
              <w:rPr>
                <w:rFonts w:ascii="Arial" w:hAnsi="Arial" w:cs="Arial"/>
                <w:sz w:val="22"/>
                <w:szCs w:val="22"/>
                <w:lang w:eastAsia="zh-CN"/>
              </w:rPr>
              <w:t>Tufael Ahmed</w:t>
            </w:r>
            <w:r w:rsidRPr="00EE177E">
              <w:rPr>
                <w:rFonts w:ascii="Arial" w:hAnsi="Arial" w:cs="Arial"/>
                <w:sz w:val="22"/>
                <w:szCs w:val="22"/>
                <w:vertAlign w:val="superscript"/>
                <w:lang w:eastAsia="zh-CN"/>
              </w:rPr>
              <w:t>1</w:t>
            </w:r>
            <w:r>
              <w:rPr>
                <w:rFonts w:ascii="Arial" w:hAnsi="Arial" w:cs="Arial"/>
                <w:sz w:val="22"/>
                <w:szCs w:val="22"/>
                <w:vertAlign w:val="superscript"/>
                <w:lang w:eastAsia="zh-CN"/>
              </w:rPr>
              <w:t>,3</w:t>
            </w:r>
            <w:r w:rsidRPr="00EE177E">
              <w:rPr>
                <w:rFonts w:ascii="Arial" w:hAnsi="Arial" w:cs="Arial"/>
                <w:sz w:val="22"/>
                <w:szCs w:val="22"/>
                <w:lang w:eastAsia="zh-CN"/>
              </w:rPr>
              <w:t xml:space="preserve"> , Bodie Curren</w:t>
            </w:r>
            <w:r w:rsidRPr="00EE177E">
              <w:rPr>
                <w:rFonts w:ascii="Arial" w:hAnsi="Arial" w:cs="Arial"/>
                <w:sz w:val="22"/>
                <w:szCs w:val="22"/>
                <w:vertAlign w:val="superscript"/>
                <w:lang w:eastAsia="zh-CN"/>
              </w:rPr>
              <w:t>2</w:t>
            </w:r>
            <w:r w:rsidRPr="00EE177E">
              <w:rPr>
                <w:rFonts w:ascii="Arial" w:hAnsi="Arial" w:cs="Arial"/>
                <w:sz w:val="22"/>
                <w:szCs w:val="22"/>
                <w:lang w:eastAsia="zh-CN"/>
              </w:rPr>
              <w:t xml:space="preserve"> , Daniel R Howard</w:t>
            </w:r>
            <w:r w:rsidRPr="00EE177E">
              <w:rPr>
                <w:rFonts w:ascii="Arial" w:hAnsi="Arial" w:cs="Arial"/>
                <w:sz w:val="22"/>
                <w:szCs w:val="22"/>
                <w:vertAlign w:val="superscript"/>
                <w:lang w:eastAsia="zh-CN"/>
              </w:rPr>
              <w:t>2</w:t>
            </w:r>
            <w:r>
              <w:rPr>
                <w:rFonts w:ascii="Arial" w:hAnsi="Arial" w:cs="Arial"/>
                <w:sz w:val="22"/>
                <w:szCs w:val="22"/>
                <w:vertAlign w:val="superscript"/>
                <w:lang w:eastAsia="zh-CN"/>
              </w:rPr>
              <w:t>,3</w:t>
            </w:r>
            <w:r w:rsidRPr="00EE177E">
              <w:rPr>
                <w:rFonts w:ascii="Arial" w:hAnsi="Arial" w:cs="Arial"/>
                <w:sz w:val="22"/>
                <w:szCs w:val="22"/>
                <w:lang w:eastAsia="zh-CN"/>
              </w:rPr>
              <w:t xml:space="preserve"> , Md Ashik </w:t>
            </w:r>
            <w:proofErr w:type="spellStart"/>
            <w:r w:rsidRPr="00EE177E">
              <w:rPr>
                <w:rFonts w:ascii="Arial" w:hAnsi="Arial" w:cs="Arial"/>
                <w:sz w:val="22"/>
                <w:szCs w:val="22"/>
                <w:lang w:eastAsia="zh-CN"/>
              </w:rPr>
              <w:t>Ullah</w:t>
            </w:r>
            <w:proofErr w:type="spellEnd"/>
            <w:r w:rsidRPr="00EE177E">
              <w:rPr>
                <w:rFonts w:ascii="Arial" w:hAnsi="Arial" w:cs="Arial"/>
                <w:sz w:val="22"/>
                <w:szCs w:val="22"/>
                <w:vertAlign w:val="superscript"/>
                <w:lang w:eastAsia="zh-CN"/>
              </w:rPr>
              <w:t xml:space="preserve"> 3</w:t>
            </w:r>
            <w:r w:rsidRPr="00EE177E">
              <w:rPr>
                <w:rFonts w:ascii="Arial" w:hAnsi="Arial" w:cs="Arial"/>
                <w:sz w:val="22"/>
                <w:szCs w:val="22"/>
                <w:lang w:eastAsia="zh-CN"/>
              </w:rPr>
              <w:t xml:space="preserve"> , Ismail Sebina </w:t>
            </w:r>
            <w:r w:rsidRPr="00EE177E">
              <w:rPr>
                <w:rFonts w:ascii="Arial" w:hAnsi="Arial" w:cs="Arial"/>
                <w:sz w:val="22"/>
                <w:szCs w:val="22"/>
                <w:vertAlign w:val="superscript"/>
                <w:lang w:eastAsia="zh-CN"/>
              </w:rPr>
              <w:t xml:space="preserve">3 </w:t>
            </w:r>
            <w:r w:rsidRPr="00EE177E">
              <w:rPr>
                <w:rFonts w:ascii="Arial" w:hAnsi="Arial" w:cs="Arial"/>
                <w:sz w:val="22"/>
                <w:szCs w:val="22"/>
                <w:lang w:eastAsia="zh-CN"/>
              </w:rPr>
              <w:t xml:space="preserve">, Ridwan Rashid </w:t>
            </w:r>
            <w:r w:rsidRPr="00EE177E">
              <w:rPr>
                <w:rFonts w:ascii="Arial" w:hAnsi="Arial" w:cs="Arial"/>
                <w:sz w:val="22"/>
                <w:szCs w:val="22"/>
                <w:vertAlign w:val="superscript"/>
                <w:lang w:eastAsia="zh-CN"/>
              </w:rPr>
              <w:t>3</w:t>
            </w:r>
            <w:r w:rsidRPr="00EE177E">
              <w:rPr>
                <w:rFonts w:ascii="Arial" w:hAnsi="Arial" w:cs="Arial"/>
                <w:sz w:val="22"/>
                <w:szCs w:val="22"/>
                <w:lang w:eastAsia="zh-CN"/>
              </w:rPr>
              <w:t xml:space="preserve"> , Md Al Amin Sikder </w:t>
            </w:r>
            <w:r w:rsidRPr="00EE177E">
              <w:rPr>
                <w:rFonts w:ascii="Arial" w:hAnsi="Arial" w:cs="Arial"/>
                <w:sz w:val="22"/>
                <w:szCs w:val="22"/>
                <w:vertAlign w:val="superscript"/>
                <w:lang w:eastAsia="zh-CN"/>
              </w:rPr>
              <w:t>3</w:t>
            </w:r>
            <w:r w:rsidRPr="00EE177E">
              <w:rPr>
                <w:rFonts w:ascii="Arial" w:hAnsi="Arial" w:cs="Arial"/>
                <w:sz w:val="22"/>
                <w:szCs w:val="22"/>
                <w:lang w:eastAsia="zh-CN"/>
              </w:rPr>
              <w:t xml:space="preserve"> , Alec Bissell </w:t>
            </w:r>
            <w:r w:rsidRPr="00EE177E">
              <w:rPr>
                <w:rFonts w:ascii="Arial" w:hAnsi="Arial" w:cs="Arial"/>
                <w:sz w:val="22"/>
                <w:szCs w:val="22"/>
                <w:vertAlign w:val="superscript"/>
                <w:lang w:eastAsia="zh-CN"/>
              </w:rPr>
              <w:t>3</w:t>
            </w:r>
            <w:r w:rsidRPr="00EE177E">
              <w:rPr>
                <w:rFonts w:ascii="Arial" w:hAnsi="Arial" w:cs="Arial"/>
                <w:sz w:val="22"/>
                <w:szCs w:val="22"/>
                <w:lang w:eastAsia="zh-CN"/>
              </w:rPr>
              <w:t xml:space="preserve"> , Sylvia Ngo</w:t>
            </w:r>
            <w:r w:rsidRPr="00EE177E">
              <w:rPr>
                <w:rFonts w:ascii="Arial" w:hAnsi="Arial" w:cs="Arial"/>
                <w:sz w:val="22"/>
                <w:szCs w:val="22"/>
                <w:vertAlign w:val="superscript"/>
                <w:lang w:eastAsia="zh-CN"/>
              </w:rPr>
              <w:t>3</w:t>
            </w:r>
            <w:r w:rsidRPr="00EE177E">
              <w:rPr>
                <w:rFonts w:ascii="Arial" w:hAnsi="Arial" w:cs="Arial"/>
                <w:sz w:val="22"/>
                <w:szCs w:val="22"/>
                <w:lang w:eastAsia="zh-CN"/>
              </w:rPr>
              <w:t xml:space="preserve"> , Patricia Namubiru</w:t>
            </w:r>
            <w:r w:rsidRPr="00AF244C">
              <w:rPr>
                <w:rFonts w:ascii="Arial" w:hAnsi="Arial" w:cs="Arial"/>
                <w:sz w:val="22"/>
                <w:szCs w:val="22"/>
                <w:vertAlign w:val="superscript"/>
                <w:lang w:eastAsia="zh-CN"/>
              </w:rPr>
              <w:t>2</w:t>
            </w:r>
            <w:r>
              <w:rPr>
                <w:rFonts w:ascii="Arial" w:hAnsi="Arial" w:cs="Arial"/>
                <w:sz w:val="22"/>
                <w:szCs w:val="22"/>
                <w:lang w:eastAsia="zh-CN"/>
              </w:rPr>
              <w:t>,</w:t>
            </w:r>
            <w:r w:rsidRPr="00EE177E">
              <w:rPr>
                <w:rFonts w:ascii="Arial" w:hAnsi="Arial" w:cs="Arial"/>
                <w:sz w:val="22"/>
                <w:szCs w:val="22"/>
                <w:vertAlign w:val="superscript"/>
                <w:lang w:eastAsia="zh-CN"/>
              </w:rPr>
              <w:t>3</w:t>
            </w:r>
            <w:r w:rsidRPr="00EE177E">
              <w:rPr>
                <w:rFonts w:ascii="Arial" w:hAnsi="Arial" w:cs="Arial"/>
                <w:sz w:val="22"/>
                <w:szCs w:val="22"/>
                <w:lang w:eastAsia="zh-CN"/>
              </w:rPr>
              <w:t xml:space="preserve"> , Michael Edwards</w:t>
            </w:r>
            <w:r w:rsidRPr="00EE177E">
              <w:rPr>
                <w:rFonts w:ascii="Arial" w:hAnsi="Arial" w:cs="Arial"/>
                <w:sz w:val="22"/>
                <w:szCs w:val="22"/>
                <w:vertAlign w:val="superscript"/>
                <w:lang w:eastAsia="zh-CN"/>
              </w:rPr>
              <w:t>4</w:t>
            </w:r>
            <w:r w:rsidRPr="00EE177E">
              <w:rPr>
                <w:rFonts w:ascii="Arial" w:hAnsi="Arial" w:cs="Arial"/>
                <w:sz w:val="22"/>
                <w:szCs w:val="22"/>
                <w:lang w:eastAsia="zh-CN"/>
              </w:rPr>
              <w:t xml:space="preserve"> , Sebastian Johnston</w:t>
            </w:r>
            <w:r w:rsidRPr="00EE177E">
              <w:rPr>
                <w:rFonts w:ascii="Arial" w:hAnsi="Arial" w:cs="Arial"/>
                <w:sz w:val="22"/>
                <w:szCs w:val="22"/>
                <w:vertAlign w:val="superscript"/>
                <w:lang w:eastAsia="zh-CN"/>
              </w:rPr>
              <w:t xml:space="preserve"> 4</w:t>
            </w:r>
            <w:r w:rsidRPr="00EE177E">
              <w:rPr>
                <w:rFonts w:ascii="Arial" w:hAnsi="Arial" w:cs="Arial"/>
                <w:sz w:val="22"/>
                <w:szCs w:val="22"/>
                <w:lang w:eastAsia="zh-CN"/>
              </w:rPr>
              <w:t xml:space="preserve"> , Henry J </w:t>
            </w:r>
            <w:proofErr w:type="spellStart"/>
            <w:r w:rsidRPr="00EE177E">
              <w:rPr>
                <w:rFonts w:ascii="Arial" w:hAnsi="Arial" w:cs="Arial"/>
                <w:sz w:val="22"/>
                <w:szCs w:val="22"/>
                <w:lang w:eastAsia="zh-CN"/>
              </w:rPr>
              <w:t>McSorley</w:t>
            </w:r>
            <w:proofErr w:type="spellEnd"/>
            <w:r w:rsidRPr="00EE177E">
              <w:rPr>
                <w:rFonts w:ascii="Arial" w:hAnsi="Arial" w:cs="Arial"/>
                <w:sz w:val="22"/>
                <w:szCs w:val="22"/>
                <w:vertAlign w:val="superscript"/>
                <w:lang w:eastAsia="zh-CN"/>
              </w:rPr>
              <w:t xml:space="preserve"> 4</w:t>
            </w:r>
            <w:r w:rsidRPr="00EE177E">
              <w:rPr>
                <w:rFonts w:ascii="Arial" w:hAnsi="Arial" w:cs="Arial"/>
                <w:sz w:val="22"/>
                <w:szCs w:val="22"/>
                <w:lang w:eastAsia="zh-CN"/>
              </w:rPr>
              <w:t xml:space="preserve"> and Simon Phipps</w:t>
            </w:r>
            <w:r w:rsidRPr="00EE177E">
              <w:rPr>
                <w:rFonts w:ascii="Arial" w:hAnsi="Arial" w:cs="Arial"/>
                <w:sz w:val="22"/>
                <w:szCs w:val="22"/>
                <w:vertAlign w:val="superscript"/>
                <w:lang w:eastAsia="zh-CN"/>
              </w:rPr>
              <w:t xml:space="preserve"> 3</w:t>
            </w:r>
          </w:p>
        </w:tc>
      </w:tr>
      <w:tr w:rsidR="001564A4" w:rsidRPr="0050053A" w14:paraId="385A19D9" w14:textId="77777777" w:rsidTr="000A28E2">
        <w:trPr>
          <w:trHeight w:val="136"/>
          <w:jc w:val="center"/>
        </w:trPr>
        <w:tc>
          <w:tcPr>
            <w:tcW w:w="8640" w:type="dxa"/>
            <w:shd w:val="clear" w:color="auto" w:fill="auto"/>
          </w:tcPr>
          <w:p w14:paraId="4A0A3E5F" w14:textId="66A6AA79" w:rsidR="00EE177E" w:rsidRPr="00EE177E" w:rsidRDefault="00EE177E" w:rsidP="00EE177E">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1</w:t>
            </w:r>
            <w:r w:rsidRPr="00EE177E">
              <w:rPr>
                <w:rFonts w:ascii="Arial" w:hAnsi="Arial" w:cs="Arial"/>
                <w:i/>
                <w:sz w:val="22"/>
                <w:szCs w:val="22"/>
                <w:lang w:val="en-US" w:eastAsia="en-GB"/>
              </w:rPr>
              <w:t>School of Biomedical Sciences, Queensland University of Technology, Queensland 4000, Australia;</w:t>
            </w:r>
          </w:p>
          <w:p w14:paraId="06079F5A" w14:textId="3811BED1" w:rsidR="00EE177E" w:rsidRPr="00EE177E" w:rsidRDefault="00EE177E" w:rsidP="00EE177E">
            <w:pPr>
              <w:spacing w:before="120" w:after="120"/>
              <w:rPr>
                <w:rFonts w:ascii="Arial" w:hAnsi="Arial" w:cs="Arial"/>
                <w:i/>
                <w:sz w:val="22"/>
                <w:szCs w:val="22"/>
                <w:lang w:val="en-US" w:eastAsia="en-GB"/>
              </w:rPr>
            </w:pPr>
            <w:r w:rsidRPr="00EE177E">
              <w:rPr>
                <w:rFonts w:ascii="Arial" w:hAnsi="Arial" w:cs="Arial"/>
                <w:i/>
                <w:sz w:val="22"/>
                <w:szCs w:val="22"/>
                <w:vertAlign w:val="superscript"/>
                <w:lang w:val="en-US" w:eastAsia="en-GB"/>
              </w:rPr>
              <w:t>2</w:t>
            </w:r>
            <w:r w:rsidRPr="00EE177E">
              <w:rPr>
                <w:rFonts w:ascii="Arial" w:hAnsi="Arial" w:cs="Arial"/>
                <w:i/>
                <w:sz w:val="22"/>
                <w:szCs w:val="22"/>
                <w:lang w:val="en-US" w:eastAsia="en-GB"/>
              </w:rPr>
              <w:t xml:space="preserve">School of Biomedical Sciences, The University of Queensland, Queensland 4072, Australia; </w:t>
            </w:r>
          </w:p>
          <w:p w14:paraId="6D78F531" w14:textId="58087462" w:rsidR="00EE177E" w:rsidRPr="00EE177E" w:rsidRDefault="00EE177E" w:rsidP="00EE177E">
            <w:pPr>
              <w:spacing w:before="120" w:after="120"/>
              <w:rPr>
                <w:rFonts w:ascii="Arial" w:hAnsi="Arial" w:cs="Arial"/>
                <w:i/>
                <w:sz w:val="22"/>
                <w:szCs w:val="22"/>
                <w:lang w:val="en-US" w:eastAsia="en-GB"/>
              </w:rPr>
            </w:pPr>
            <w:r w:rsidRPr="00EE177E">
              <w:rPr>
                <w:rFonts w:ascii="Arial" w:hAnsi="Arial" w:cs="Arial"/>
                <w:i/>
                <w:sz w:val="22"/>
                <w:szCs w:val="22"/>
                <w:vertAlign w:val="superscript"/>
                <w:lang w:val="en-US" w:eastAsia="en-GB"/>
              </w:rPr>
              <w:t>3</w:t>
            </w:r>
            <w:r w:rsidRPr="00EE177E">
              <w:rPr>
                <w:rFonts w:ascii="Arial" w:hAnsi="Arial" w:cs="Arial"/>
                <w:i/>
                <w:sz w:val="22"/>
                <w:szCs w:val="22"/>
                <w:lang w:val="en-US" w:eastAsia="en-GB"/>
              </w:rPr>
              <w:t xml:space="preserve">QIMR-Berghofer Medical Research Institute, Herston, Queensland 4006, Australia; </w:t>
            </w:r>
          </w:p>
          <w:p w14:paraId="45ED36BF" w14:textId="16003DAF" w:rsidR="001564A4" w:rsidRPr="0050053A" w:rsidRDefault="00EE177E" w:rsidP="00EE177E">
            <w:pPr>
              <w:spacing w:before="120" w:after="120"/>
              <w:rPr>
                <w:rFonts w:ascii="Arial" w:hAnsi="Arial" w:cs="Arial"/>
                <w:i/>
                <w:sz w:val="22"/>
                <w:szCs w:val="22"/>
                <w:lang w:val="en-US" w:eastAsia="en-GB"/>
              </w:rPr>
            </w:pPr>
            <w:r w:rsidRPr="00EE177E">
              <w:rPr>
                <w:rFonts w:ascii="Arial" w:hAnsi="Arial" w:cs="Arial"/>
                <w:i/>
                <w:sz w:val="22"/>
                <w:szCs w:val="22"/>
                <w:vertAlign w:val="superscript"/>
                <w:lang w:val="en-US" w:eastAsia="en-GB"/>
              </w:rPr>
              <w:t>4</w:t>
            </w:r>
            <w:r w:rsidRPr="00EE177E">
              <w:rPr>
                <w:rFonts w:ascii="Arial" w:hAnsi="Arial" w:cs="Arial"/>
                <w:i/>
                <w:sz w:val="22"/>
                <w:szCs w:val="22"/>
                <w:lang w:val="en-US" w:eastAsia="en-GB"/>
              </w:rPr>
              <w:t>National Heart and Lung Institute, Imperial College London, London, UK</w:t>
            </w:r>
          </w:p>
        </w:tc>
      </w:tr>
      <w:tr w:rsidR="001564A4" w:rsidRPr="0050053A" w14:paraId="6DAF615A" w14:textId="77777777" w:rsidTr="00EE177E">
        <w:trPr>
          <w:trHeight w:hRule="exact" w:val="9622"/>
          <w:jc w:val="center"/>
        </w:trPr>
        <w:tc>
          <w:tcPr>
            <w:tcW w:w="8640"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7EC61783" w14:textId="2C1455AB" w:rsidR="00AF244C" w:rsidRDefault="007B7ACD" w:rsidP="00AF244C">
            <w:pPr>
              <w:pStyle w:val="Default"/>
              <w:rPr>
                <w:color w:val="auto"/>
                <w:sz w:val="22"/>
                <w:szCs w:val="22"/>
              </w:rPr>
            </w:pPr>
            <w:r w:rsidRPr="007B7ACD">
              <w:rPr>
                <w:sz w:val="22"/>
                <w:szCs w:val="22"/>
              </w:rPr>
              <w:t xml:space="preserve">Rhinovirus-induced neutrophil extracellular traps (NETs) contribute to acute asthma exacerbations, however the molecular factors that trigger </w:t>
            </w:r>
            <w:proofErr w:type="spellStart"/>
            <w:r w:rsidRPr="007B7ACD">
              <w:rPr>
                <w:sz w:val="22"/>
                <w:szCs w:val="22"/>
              </w:rPr>
              <w:t>NETosis</w:t>
            </w:r>
            <w:proofErr w:type="spellEnd"/>
            <w:r w:rsidRPr="007B7ACD">
              <w:rPr>
                <w:sz w:val="22"/>
                <w:szCs w:val="22"/>
              </w:rPr>
              <w:t xml:space="preserve"> in this context remain ill-defined.</w:t>
            </w:r>
            <w:r>
              <w:rPr>
                <w:sz w:val="22"/>
                <w:szCs w:val="22"/>
              </w:rPr>
              <w:t xml:space="preserve"> Therefore we sought </w:t>
            </w:r>
            <w:r w:rsidR="00EE177E">
              <w:rPr>
                <w:sz w:val="22"/>
                <w:szCs w:val="22"/>
              </w:rPr>
              <w:t>to</w:t>
            </w:r>
            <w:r w:rsidR="00EE177E" w:rsidRPr="00EE177E">
              <w:rPr>
                <w:sz w:val="22"/>
                <w:szCs w:val="22"/>
              </w:rPr>
              <w:t xml:space="preserve"> determine </w:t>
            </w:r>
            <w:r w:rsidRPr="007B7ACD">
              <w:rPr>
                <w:color w:val="auto"/>
                <w:sz w:val="22"/>
                <w:szCs w:val="22"/>
              </w:rPr>
              <w:t>a role for IL-33, an epithelial cell-derived alarmin rapidly released in response to infection.</w:t>
            </w:r>
          </w:p>
          <w:p w14:paraId="2327404A" w14:textId="77777777" w:rsidR="007B7ACD" w:rsidRPr="00AF244C" w:rsidRDefault="007B7ACD" w:rsidP="00AF244C">
            <w:pPr>
              <w:pStyle w:val="Default"/>
            </w:pPr>
          </w:p>
          <w:p w14:paraId="1B39336E" w14:textId="77777777" w:rsidR="001564A4" w:rsidRPr="0050053A" w:rsidRDefault="001564A4" w:rsidP="00EE177E">
            <w:pPr>
              <w:pStyle w:val="Pa12"/>
              <w:spacing w:line="240" w:lineRule="auto"/>
              <w:rPr>
                <w:rStyle w:val="A4"/>
                <w:b/>
                <w:bCs/>
              </w:rPr>
            </w:pPr>
            <w:r w:rsidRPr="0050053A">
              <w:rPr>
                <w:rStyle w:val="A4"/>
                <w:b/>
                <w:bCs/>
              </w:rPr>
              <w:t>Method</w:t>
            </w:r>
            <w:r>
              <w:rPr>
                <w:rStyle w:val="A4"/>
                <w:b/>
                <w:bCs/>
              </w:rPr>
              <w:t>s</w:t>
            </w:r>
            <w:r w:rsidRPr="0050053A">
              <w:rPr>
                <w:rStyle w:val="A4"/>
                <w:b/>
                <w:bCs/>
              </w:rPr>
              <w:t xml:space="preserve">: </w:t>
            </w:r>
          </w:p>
          <w:p w14:paraId="5029BAE6" w14:textId="2F5A7A60" w:rsidR="001564A4" w:rsidRPr="00EE177E" w:rsidRDefault="00EE177E" w:rsidP="000A28E2">
            <w:pPr>
              <w:pStyle w:val="Pa12"/>
              <w:rPr>
                <w:rStyle w:val="A4"/>
                <w:color w:val="auto"/>
              </w:rPr>
            </w:pPr>
            <w:r w:rsidRPr="00EE177E">
              <w:rPr>
                <w:sz w:val="22"/>
                <w:szCs w:val="22"/>
              </w:rPr>
              <w:t xml:space="preserve">Mice with chronic experimental asthma (CEA) were inoculated with rhinovirus or IL-33, and treated with HPARI (H. </w:t>
            </w:r>
            <w:proofErr w:type="spellStart"/>
            <w:r w:rsidRPr="00EE177E">
              <w:rPr>
                <w:sz w:val="22"/>
                <w:szCs w:val="22"/>
              </w:rPr>
              <w:t>polygyrus</w:t>
            </w:r>
            <w:proofErr w:type="spellEnd"/>
            <w:r w:rsidRPr="00EE177E">
              <w:rPr>
                <w:sz w:val="22"/>
                <w:szCs w:val="22"/>
              </w:rPr>
              <w:t xml:space="preserve"> Alarmin Release Inhibitor), which blocks IL-33 release and signalling, or Cl-</w:t>
            </w:r>
            <w:proofErr w:type="spellStart"/>
            <w:r w:rsidRPr="00EE177E">
              <w:rPr>
                <w:sz w:val="22"/>
                <w:szCs w:val="22"/>
              </w:rPr>
              <w:t>Amidine</w:t>
            </w:r>
            <w:proofErr w:type="spellEnd"/>
            <w:r w:rsidRPr="00EE177E">
              <w:rPr>
                <w:sz w:val="22"/>
                <w:szCs w:val="22"/>
              </w:rPr>
              <w:t xml:space="preserve">, an inhibitor of PAD4-mediated </w:t>
            </w:r>
            <w:proofErr w:type="spellStart"/>
            <w:r w:rsidRPr="00EE177E">
              <w:rPr>
                <w:sz w:val="22"/>
                <w:szCs w:val="22"/>
              </w:rPr>
              <w:t>NETosis</w:t>
            </w:r>
            <w:proofErr w:type="spellEnd"/>
            <w:r w:rsidRPr="00EE177E">
              <w:rPr>
                <w:sz w:val="22"/>
                <w:szCs w:val="22"/>
              </w:rPr>
              <w:t xml:space="preserve">. </w:t>
            </w:r>
            <w:r w:rsidR="00AF244C" w:rsidRPr="00EE177E">
              <w:rPr>
                <w:sz w:val="22"/>
                <w:szCs w:val="22"/>
              </w:rPr>
              <w:t>DsDNA</w:t>
            </w:r>
            <w:r w:rsidRPr="00EE177E">
              <w:rPr>
                <w:sz w:val="22"/>
                <w:szCs w:val="22"/>
              </w:rPr>
              <w:t>, neutrophil elastase, and IL-33 were measured in nasal samples obtained from rhinovirus-infected asthmatics and healthy controls.</w:t>
            </w:r>
            <w:r w:rsidR="001564A4">
              <w:rPr>
                <w:sz w:val="22"/>
                <w:szCs w:val="22"/>
              </w:rPr>
              <w:br/>
            </w:r>
          </w:p>
          <w:p w14:paraId="6BF3F094" w14:textId="77777777" w:rsidR="001564A4" w:rsidRPr="0050053A" w:rsidRDefault="001564A4" w:rsidP="000A28E2">
            <w:pPr>
              <w:pStyle w:val="Pa12"/>
              <w:rPr>
                <w:rStyle w:val="A4"/>
                <w:b/>
                <w:bCs/>
              </w:rPr>
            </w:pPr>
            <w:r w:rsidRPr="0050053A">
              <w:rPr>
                <w:rStyle w:val="A4"/>
                <w:b/>
                <w:bCs/>
              </w:rPr>
              <w:t xml:space="preserve">Results: </w:t>
            </w:r>
          </w:p>
          <w:p w14:paraId="43839995" w14:textId="1C16D07B" w:rsidR="00AF244C" w:rsidRDefault="00AF244C" w:rsidP="000A28E2">
            <w:pPr>
              <w:pStyle w:val="Pa12"/>
              <w:rPr>
                <w:bCs/>
                <w:color w:val="000000"/>
                <w:sz w:val="22"/>
                <w:szCs w:val="22"/>
                <w:lang w:val="en-AU"/>
              </w:rPr>
            </w:pPr>
            <w:r w:rsidRPr="00AF244C">
              <w:rPr>
                <w:bCs/>
                <w:color w:val="000000"/>
                <w:sz w:val="22"/>
                <w:szCs w:val="22"/>
                <w:lang w:val="en-AU"/>
              </w:rPr>
              <w:t>In mice with chronic experimental asthma (CEA), but not naïve controls, rhinovirus inoculation induced an early (1 day post infection; dpi) inflammatory response dominated by neutrophils, neutrophil-associated cytokines (IL-1</w:t>
            </w:r>
            <w:r w:rsidR="00AC59D3">
              <w:rPr>
                <w:bCs/>
                <w:color w:val="000000"/>
                <w:sz w:val="22"/>
                <w:szCs w:val="22"/>
                <w:lang w:val="en-AU"/>
              </w:rPr>
              <w:t>α</w:t>
            </w:r>
            <w:r w:rsidRPr="00AF244C">
              <w:rPr>
                <w:bCs/>
                <w:color w:val="000000"/>
                <w:sz w:val="22"/>
                <w:szCs w:val="22"/>
                <w:lang w:val="en-AU"/>
              </w:rPr>
              <w:t>, IL-1</w:t>
            </w:r>
            <w:r w:rsidR="00AC59D3">
              <w:rPr>
                <w:bCs/>
                <w:color w:val="000000"/>
                <w:sz w:val="22"/>
                <w:szCs w:val="22"/>
                <w:lang w:val="en-AU"/>
              </w:rPr>
              <w:t>β</w:t>
            </w:r>
            <w:r w:rsidRPr="00AF244C">
              <w:rPr>
                <w:bCs/>
                <w:color w:val="000000"/>
                <w:sz w:val="22"/>
                <w:szCs w:val="22"/>
                <w:lang w:val="en-AU"/>
              </w:rPr>
              <w:t xml:space="preserve">, CXCL1) and </w:t>
            </w:r>
            <w:proofErr w:type="spellStart"/>
            <w:r w:rsidRPr="00AF244C">
              <w:rPr>
                <w:bCs/>
                <w:color w:val="000000"/>
                <w:sz w:val="22"/>
                <w:szCs w:val="22"/>
                <w:lang w:val="en-AU"/>
              </w:rPr>
              <w:t>NETosis</w:t>
            </w:r>
            <w:proofErr w:type="spellEnd"/>
            <w:r w:rsidRPr="00AF244C">
              <w:rPr>
                <w:bCs/>
                <w:color w:val="000000"/>
                <w:sz w:val="22"/>
                <w:szCs w:val="22"/>
                <w:lang w:val="en-AU"/>
              </w:rPr>
              <w:t xml:space="preserve">, followed by a later, type-2 inflammatory phase (3-7 dpi), characterized by eosinophils, elevated IL-4 levels, and goblet cell hyperplasia. Notably, both phases were ablated by </w:t>
            </w:r>
            <w:proofErr w:type="spellStart"/>
            <w:r w:rsidRPr="00AF244C">
              <w:rPr>
                <w:bCs/>
                <w:color w:val="000000"/>
                <w:sz w:val="22"/>
                <w:szCs w:val="22"/>
                <w:lang w:val="en-AU"/>
              </w:rPr>
              <w:t>HpARI</w:t>
            </w:r>
            <w:proofErr w:type="spellEnd"/>
            <w:r w:rsidRPr="00AF244C">
              <w:rPr>
                <w:bCs/>
                <w:color w:val="000000"/>
                <w:sz w:val="22"/>
                <w:szCs w:val="22"/>
                <w:lang w:val="en-AU"/>
              </w:rPr>
              <w:t xml:space="preserve"> (</w:t>
            </w:r>
            <w:proofErr w:type="spellStart"/>
            <w:r w:rsidRPr="00AF244C">
              <w:rPr>
                <w:bCs/>
                <w:i/>
                <w:color w:val="000000"/>
                <w:sz w:val="22"/>
                <w:szCs w:val="22"/>
                <w:lang w:val="en-AU"/>
              </w:rPr>
              <w:t>Heligmosomoides</w:t>
            </w:r>
            <w:proofErr w:type="spellEnd"/>
            <w:r w:rsidRPr="00AF244C">
              <w:rPr>
                <w:bCs/>
                <w:color w:val="000000"/>
                <w:sz w:val="22"/>
                <w:szCs w:val="22"/>
                <w:lang w:val="en-AU"/>
              </w:rPr>
              <w:t xml:space="preserve"> </w:t>
            </w:r>
            <w:proofErr w:type="spellStart"/>
            <w:r w:rsidRPr="00AF244C">
              <w:rPr>
                <w:bCs/>
                <w:i/>
                <w:color w:val="000000"/>
                <w:sz w:val="22"/>
                <w:szCs w:val="22"/>
                <w:lang w:val="en-AU"/>
              </w:rPr>
              <w:t>polygyrus</w:t>
            </w:r>
            <w:proofErr w:type="spellEnd"/>
            <w:r w:rsidRPr="00AF244C">
              <w:rPr>
                <w:bCs/>
                <w:color w:val="000000"/>
                <w:sz w:val="22"/>
                <w:szCs w:val="22"/>
                <w:lang w:val="en-AU"/>
              </w:rPr>
              <w:t xml:space="preserve"> </w:t>
            </w:r>
            <w:proofErr w:type="spellStart"/>
            <w:r w:rsidRPr="00AF244C">
              <w:rPr>
                <w:bCs/>
                <w:color w:val="000000"/>
                <w:sz w:val="22"/>
                <w:szCs w:val="22"/>
                <w:lang w:val="en-AU"/>
              </w:rPr>
              <w:t>Alarmin</w:t>
            </w:r>
            <w:proofErr w:type="spellEnd"/>
            <w:r w:rsidRPr="00AF244C">
              <w:rPr>
                <w:bCs/>
                <w:color w:val="000000"/>
                <w:sz w:val="22"/>
                <w:szCs w:val="22"/>
                <w:lang w:val="en-AU"/>
              </w:rPr>
              <w:t xml:space="preserve"> Release Inhibitor), which blocks IL-33 release and signalling. Instillation of exogenous IL-33 recapitulated the rhinovirus-induced early phase, including the increased presence of NETs in the airway mucosa, in a PAD4-dependent manner. </w:t>
            </w:r>
            <w:r w:rsidRPr="00AF244C">
              <w:rPr>
                <w:bCs/>
                <w:i/>
                <w:color w:val="000000"/>
                <w:sz w:val="22"/>
                <w:szCs w:val="22"/>
                <w:lang w:val="en-AU"/>
              </w:rPr>
              <w:t xml:space="preserve">Ex vivo </w:t>
            </w:r>
            <w:r w:rsidRPr="00AF244C">
              <w:rPr>
                <w:bCs/>
                <w:color w:val="000000"/>
                <w:sz w:val="22"/>
                <w:szCs w:val="22"/>
                <w:lang w:val="en-AU"/>
              </w:rPr>
              <w:t xml:space="preserve">IL-33-stimulated neutrophils from mice with CEA, but not naïve mice, underwent </w:t>
            </w:r>
            <w:proofErr w:type="spellStart"/>
            <w:r w:rsidRPr="00AF244C">
              <w:rPr>
                <w:bCs/>
                <w:color w:val="000000"/>
                <w:sz w:val="22"/>
                <w:szCs w:val="22"/>
                <w:lang w:val="en-AU"/>
              </w:rPr>
              <w:t>NETosis</w:t>
            </w:r>
            <w:proofErr w:type="spellEnd"/>
            <w:r w:rsidRPr="00AF244C">
              <w:rPr>
                <w:bCs/>
                <w:color w:val="000000"/>
                <w:sz w:val="22"/>
                <w:szCs w:val="22"/>
                <w:lang w:val="en-AU"/>
              </w:rPr>
              <w:t>, and produced greater amounts of IL-1</w:t>
            </w:r>
            <w:r w:rsidR="00AC59D3">
              <w:rPr>
                <w:bCs/>
                <w:color w:val="000000"/>
                <w:sz w:val="22"/>
                <w:szCs w:val="22"/>
                <w:lang w:val="en-AU"/>
              </w:rPr>
              <w:t xml:space="preserve">β, </w:t>
            </w:r>
            <w:r w:rsidRPr="00AF244C">
              <w:rPr>
                <w:bCs/>
                <w:color w:val="000000"/>
                <w:sz w:val="22"/>
                <w:szCs w:val="22"/>
                <w:lang w:val="en-AU"/>
              </w:rPr>
              <w:t>IL-4, and IL-5. In nasal samples from rhinovirus-infected people with asthma, but not healthy controls, IL-33 levels correlated with neutrophil elastase and dsDNA.</w:t>
            </w:r>
          </w:p>
          <w:p w14:paraId="30698A15" w14:textId="77777777" w:rsidR="00AF244C" w:rsidRPr="00AF244C" w:rsidRDefault="00AF244C" w:rsidP="00AF244C">
            <w:pPr>
              <w:pStyle w:val="Default"/>
              <w:rPr>
                <w:lang w:val="en-AU"/>
              </w:rPr>
            </w:pPr>
          </w:p>
          <w:p w14:paraId="6369B1F1" w14:textId="2BCF1C76" w:rsidR="00EE177E" w:rsidRDefault="001564A4" w:rsidP="000A28E2">
            <w:pPr>
              <w:pStyle w:val="Pa12"/>
              <w:rPr>
                <w:rStyle w:val="A4"/>
                <w:b/>
                <w:bCs/>
              </w:rPr>
            </w:pPr>
            <w:r w:rsidRPr="0050053A">
              <w:rPr>
                <w:rStyle w:val="A4"/>
                <w:b/>
                <w:bCs/>
              </w:rPr>
              <w:t>Conclusion:</w:t>
            </w:r>
          </w:p>
          <w:p w14:paraId="196E7BAC" w14:textId="0C7461C6" w:rsidR="001564A4" w:rsidRDefault="00AF244C" w:rsidP="000A28E2">
            <w:pPr>
              <w:pStyle w:val="Pa12"/>
              <w:rPr>
                <w:rStyle w:val="A4"/>
                <w:bCs/>
              </w:rPr>
            </w:pPr>
            <w:r w:rsidRPr="00AF244C">
              <w:rPr>
                <w:rStyle w:val="A4"/>
                <w:bCs/>
              </w:rPr>
              <w:t>IL-33 blockade ameliorates the severity of an asthma exacerbation by attenuating neutrophil recruitment and the downstream generation of NETs.</w:t>
            </w:r>
          </w:p>
          <w:p w14:paraId="67D7A0D3" w14:textId="77777777" w:rsidR="00AF244C" w:rsidRPr="00AF244C" w:rsidRDefault="00AF244C" w:rsidP="00AF244C">
            <w:pPr>
              <w:pStyle w:val="Default"/>
            </w:pP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7F8381F0" w14:textId="5F656236" w:rsidR="001564A4" w:rsidRDefault="007B7ACD" w:rsidP="000A28E2">
            <w:pPr>
              <w:pStyle w:val="Pa12"/>
              <w:rPr>
                <w:sz w:val="22"/>
                <w:szCs w:val="22"/>
              </w:rPr>
            </w:pPr>
            <w:r w:rsidRPr="007B7ACD">
              <w:rPr>
                <w:sz w:val="22"/>
                <w:szCs w:val="22"/>
              </w:rPr>
              <w:t>This work was supported by an NHMRC grant awarded to S.P. (1141581), and grants to H.J.M from LONGFONDS Accelerate as part of the AWWA project, and the Medical Research Council (MR/S000593/1).</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A4"/>
    <w:rsid w:val="00022CE8"/>
    <w:rsid w:val="00152A49"/>
    <w:rsid w:val="001564A4"/>
    <w:rsid w:val="0051574E"/>
    <w:rsid w:val="007B7ACD"/>
    <w:rsid w:val="008803FA"/>
    <w:rsid w:val="00AC59D3"/>
    <w:rsid w:val="00AF244C"/>
    <w:rsid w:val="00B12E32"/>
    <w:rsid w:val="00C4543B"/>
    <w:rsid w:val="00E0700F"/>
    <w:rsid w:val="00EE17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Patricia Namubiru</cp:lastModifiedBy>
  <cp:revision>13</cp:revision>
  <dcterms:created xsi:type="dcterms:W3CDTF">2020-08-27T00:40:00Z</dcterms:created>
  <dcterms:modified xsi:type="dcterms:W3CDTF">2023-10-07T04:32:00Z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