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C7CDB" w14:textId="77777777" w:rsidR="003B64F9" w:rsidRPr="00BA6009" w:rsidRDefault="003B64F9" w:rsidP="00C20409">
      <w:pPr>
        <w:rPr>
          <w:rFonts w:ascii="Arial" w:hAnsi="Arial" w:cs="Arial"/>
          <w:b/>
          <w:bCs/>
          <w:sz w:val="22"/>
          <w:szCs w:val="22"/>
          <w:lang w:val="en-NZ"/>
        </w:rPr>
      </w:pPr>
    </w:p>
    <w:p w14:paraId="77FED4C4" w14:textId="77777777" w:rsidR="003B64F9" w:rsidRPr="00BA6009" w:rsidRDefault="003B64F9" w:rsidP="003B64F9">
      <w:pPr>
        <w:rPr>
          <w:rFonts w:ascii="Arial" w:hAnsi="Arial" w:cs="Arial"/>
          <w:b/>
          <w:bCs/>
          <w:sz w:val="22"/>
          <w:szCs w:val="22"/>
        </w:rPr>
      </w:pPr>
      <w:r w:rsidRPr="00BA6009">
        <w:rPr>
          <w:rFonts w:ascii="Arial" w:hAnsi="Arial" w:cs="Arial"/>
          <w:b/>
          <w:bCs/>
          <w:sz w:val="22"/>
          <w:szCs w:val="22"/>
        </w:rPr>
        <w:t>Pathology Burden in 125 Consecutive Transthoracic Echocardiograms at a New Zealand Tertiary Centre: Prevalence of Moderate-or-worse Echocardiographic Abnormalities.</w:t>
      </w:r>
    </w:p>
    <w:p w14:paraId="06356309" w14:textId="77777777" w:rsidR="003B64F9" w:rsidRPr="00BA6009" w:rsidRDefault="003B64F9" w:rsidP="00C20409">
      <w:pPr>
        <w:rPr>
          <w:rFonts w:ascii="Arial" w:hAnsi="Arial" w:cs="Arial"/>
          <w:b/>
          <w:bCs/>
          <w:sz w:val="22"/>
          <w:szCs w:val="22"/>
          <w:lang w:val="en-NZ"/>
        </w:rPr>
      </w:pPr>
    </w:p>
    <w:p w14:paraId="2B610FD2" w14:textId="77777777" w:rsidR="00B029BB" w:rsidRPr="00BA6009" w:rsidRDefault="00B029BB" w:rsidP="00C20409">
      <w:pPr>
        <w:rPr>
          <w:rFonts w:ascii="Arial" w:hAnsi="Arial" w:cs="Arial"/>
          <w:b/>
          <w:bCs/>
          <w:sz w:val="22"/>
          <w:szCs w:val="22"/>
          <w:lang w:val="en-NZ"/>
        </w:rPr>
      </w:pPr>
    </w:p>
    <w:p w14:paraId="45A8AF66" w14:textId="77777777" w:rsidR="00C20409" w:rsidRPr="00BA6009" w:rsidRDefault="00C20409" w:rsidP="00C20409">
      <w:pPr>
        <w:rPr>
          <w:rFonts w:ascii="Arial" w:hAnsi="Arial" w:cs="Arial"/>
          <w:sz w:val="22"/>
          <w:szCs w:val="22"/>
          <w:lang w:val="en-NZ"/>
        </w:rPr>
      </w:pPr>
      <w:r w:rsidRPr="00BA6009">
        <w:rPr>
          <w:rFonts w:ascii="Arial" w:hAnsi="Arial" w:cs="Arial"/>
          <w:b/>
          <w:bCs/>
          <w:sz w:val="22"/>
          <w:szCs w:val="22"/>
          <w:lang w:val="en-NZ"/>
        </w:rPr>
        <w:t>Background:</w:t>
      </w:r>
      <w:r w:rsidRPr="00BA6009">
        <w:rPr>
          <w:rFonts w:ascii="Arial" w:hAnsi="Arial" w:cs="Arial"/>
          <w:sz w:val="22"/>
          <w:szCs w:val="22"/>
          <w:lang w:val="en-NZ"/>
        </w:rPr>
        <w:br/>
      </w:r>
      <w:r w:rsidR="00B029BB" w:rsidRPr="00BA6009">
        <w:rPr>
          <w:rFonts w:ascii="Arial" w:hAnsi="Arial" w:cs="Arial"/>
          <w:sz w:val="22"/>
          <w:szCs w:val="22"/>
        </w:rPr>
        <w:t>The burden of clinically significant structural abnormalities identified by transthoracic echocardiography within regional tertiary referral populations remains incompletely characterised</w:t>
      </w:r>
      <w:r w:rsidRPr="00BA6009">
        <w:rPr>
          <w:rFonts w:ascii="Arial" w:hAnsi="Arial" w:cs="Arial"/>
          <w:sz w:val="22"/>
          <w:szCs w:val="22"/>
          <w:lang w:val="en-NZ"/>
        </w:rPr>
        <w:t xml:space="preserve">. Quantifying moderate-or-worse pathology </w:t>
      </w:r>
      <w:r w:rsidR="009F7D18">
        <w:rPr>
          <w:rFonts w:ascii="Arial" w:hAnsi="Arial" w:cs="Arial"/>
          <w:sz w:val="22"/>
          <w:szCs w:val="22"/>
          <w:lang w:val="en-NZ"/>
        </w:rPr>
        <w:t>will contribute to understanding the diagnostic yield of likely clinically relevant disease.</w:t>
      </w:r>
    </w:p>
    <w:p w14:paraId="735DBA29" w14:textId="77777777" w:rsidR="00C20409" w:rsidRPr="00BA6009" w:rsidRDefault="00C20409" w:rsidP="00C20409">
      <w:pPr>
        <w:rPr>
          <w:rFonts w:ascii="Arial" w:hAnsi="Arial" w:cs="Arial"/>
          <w:sz w:val="22"/>
          <w:szCs w:val="22"/>
          <w:lang w:val="en-NZ"/>
        </w:rPr>
      </w:pPr>
    </w:p>
    <w:p w14:paraId="6DBBBC7D" w14:textId="77777777" w:rsidR="00C20409" w:rsidRPr="00BA6009" w:rsidRDefault="00C20409" w:rsidP="00C20409">
      <w:pPr>
        <w:rPr>
          <w:rFonts w:ascii="Arial" w:hAnsi="Arial" w:cs="Arial"/>
          <w:sz w:val="22"/>
          <w:szCs w:val="22"/>
          <w:lang w:val="en-NZ"/>
        </w:rPr>
      </w:pPr>
      <w:r w:rsidRPr="00BA6009">
        <w:rPr>
          <w:rFonts w:ascii="Arial" w:hAnsi="Arial" w:cs="Arial"/>
          <w:b/>
          <w:bCs/>
          <w:sz w:val="22"/>
          <w:szCs w:val="22"/>
          <w:lang w:val="en-NZ"/>
        </w:rPr>
        <w:t>Methods:</w:t>
      </w:r>
      <w:r w:rsidRPr="00BA6009">
        <w:rPr>
          <w:rFonts w:ascii="Arial" w:hAnsi="Arial" w:cs="Arial"/>
          <w:sz w:val="22"/>
          <w:szCs w:val="22"/>
          <w:lang w:val="en-NZ"/>
        </w:rPr>
        <w:br/>
        <w:t>This retrospective, observational, cross-sectional study analysed 125 consecutive adult TTEs performed at Waikato Hospital, a tertiary referral centre for the Te Manawa Taki region. Studies included inpatients (87.2%) and outpatients (12.8%). The cohort had a mean age of 65.5 ± 15.4 years; 64% were male. Moderate-or-worse pathology was defined as moderate, moderate–severe, or severe abnormalities involving ventricular systolic function or chamber dilatation, atrial, root or proximal aortic enlargement, aortic, mitral, or tricuspid valvular disease, or pericardial effusion.</w:t>
      </w:r>
    </w:p>
    <w:p w14:paraId="563B0284" w14:textId="77777777" w:rsidR="00C20409" w:rsidRPr="00BA6009" w:rsidRDefault="00C20409" w:rsidP="00C20409">
      <w:pPr>
        <w:rPr>
          <w:rFonts w:ascii="Arial" w:hAnsi="Arial" w:cs="Arial"/>
          <w:sz w:val="22"/>
          <w:szCs w:val="22"/>
          <w:lang w:val="en-NZ"/>
        </w:rPr>
      </w:pPr>
    </w:p>
    <w:p w14:paraId="30DC6C94" w14:textId="77777777" w:rsidR="00C20409" w:rsidRPr="00BA6009" w:rsidRDefault="00C20409" w:rsidP="00C20409">
      <w:pPr>
        <w:rPr>
          <w:rFonts w:ascii="Arial" w:hAnsi="Arial" w:cs="Arial"/>
          <w:color w:val="000000" w:themeColor="text1"/>
          <w:sz w:val="22"/>
          <w:szCs w:val="22"/>
          <w:lang w:val="en-NZ"/>
        </w:rPr>
      </w:pPr>
      <w:r w:rsidRPr="00BA6009">
        <w:rPr>
          <w:rFonts w:ascii="Arial" w:hAnsi="Arial" w:cs="Arial"/>
          <w:b/>
          <w:bCs/>
          <w:sz w:val="22"/>
          <w:szCs w:val="22"/>
          <w:lang w:val="en-NZ"/>
        </w:rPr>
        <w:t>Results:</w:t>
      </w:r>
      <w:r w:rsidRPr="00BA6009">
        <w:rPr>
          <w:rFonts w:ascii="Arial" w:hAnsi="Arial" w:cs="Arial"/>
          <w:sz w:val="22"/>
          <w:szCs w:val="22"/>
          <w:lang w:val="en-NZ"/>
        </w:rPr>
        <w:br/>
      </w:r>
      <w:r w:rsidR="00FA034E" w:rsidRPr="00BA6009">
        <w:rPr>
          <w:rFonts w:ascii="Arial" w:hAnsi="Arial" w:cs="Arial"/>
          <w:sz w:val="22"/>
          <w:szCs w:val="22"/>
          <w:lang w:val="en-NZ"/>
        </w:rPr>
        <w:t>O</w:t>
      </w:r>
      <w:r w:rsidRPr="00BA6009">
        <w:rPr>
          <w:rFonts w:ascii="Arial" w:hAnsi="Arial" w:cs="Arial"/>
          <w:sz w:val="22"/>
          <w:szCs w:val="22"/>
          <w:lang w:val="en-NZ"/>
        </w:rPr>
        <w:t>f 125</w:t>
      </w:r>
      <w:r w:rsidR="00FA034E" w:rsidRPr="00BA6009">
        <w:rPr>
          <w:rFonts w:ascii="Arial" w:hAnsi="Arial" w:cs="Arial"/>
          <w:sz w:val="22"/>
          <w:szCs w:val="22"/>
          <w:lang w:val="en-NZ"/>
        </w:rPr>
        <w:t>, 70</w:t>
      </w:r>
      <w:r w:rsidRPr="00BA6009">
        <w:rPr>
          <w:rFonts w:ascii="Arial" w:hAnsi="Arial" w:cs="Arial"/>
          <w:sz w:val="22"/>
          <w:szCs w:val="22"/>
          <w:lang w:val="en-NZ"/>
        </w:rPr>
        <w:t xml:space="preserve"> studies demonstrated at least one moderate-or-worse abnormality (56%).</w:t>
      </w:r>
      <w:r w:rsidR="00FA034E" w:rsidRPr="00BA6009">
        <w:rPr>
          <w:rFonts w:ascii="Arial" w:hAnsi="Arial" w:cs="Arial"/>
          <w:sz w:val="22"/>
          <w:szCs w:val="22"/>
        </w:rPr>
        <w:t xml:space="preserve"> Among these, the conditional </w:t>
      </w:r>
      <w:r w:rsidR="00FA034E" w:rsidRPr="00BA6009">
        <w:rPr>
          <w:rFonts w:ascii="Arial" w:hAnsi="Arial" w:cs="Arial"/>
          <w:color w:val="000000" w:themeColor="text1"/>
          <w:sz w:val="22"/>
          <w:szCs w:val="22"/>
        </w:rPr>
        <w:t>mean pathology burden was 2.8 abnormalities per scan, reflecting frequent clustering of abnormalities</w:t>
      </w:r>
      <w:r w:rsidRPr="00BA6009">
        <w:rPr>
          <w:rFonts w:ascii="Arial" w:hAnsi="Arial" w:cs="Arial"/>
          <w:color w:val="000000" w:themeColor="text1"/>
          <w:sz w:val="22"/>
          <w:szCs w:val="22"/>
          <w:lang w:val="en-NZ"/>
        </w:rPr>
        <w:t xml:space="preserve">. 42 </w:t>
      </w:r>
      <w:r w:rsidR="00164F2C" w:rsidRPr="00BA6009">
        <w:rPr>
          <w:rFonts w:ascii="Arial" w:hAnsi="Arial" w:cs="Arial"/>
          <w:color w:val="000000" w:themeColor="text1"/>
          <w:sz w:val="22"/>
          <w:szCs w:val="22"/>
          <w:lang w:val="en-NZ"/>
        </w:rPr>
        <w:t>S</w:t>
      </w:r>
      <w:r w:rsidRPr="00BA6009">
        <w:rPr>
          <w:rFonts w:ascii="Arial" w:hAnsi="Arial" w:cs="Arial"/>
          <w:color w:val="000000" w:themeColor="text1"/>
          <w:sz w:val="22"/>
          <w:szCs w:val="22"/>
          <w:lang w:val="en-NZ"/>
        </w:rPr>
        <w:t>tudies (</w:t>
      </w:r>
      <w:r w:rsidR="005F66ED" w:rsidRPr="00BA6009">
        <w:rPr>
          <w:rFonts w:ascii="Arial" w:hAnsi="Arial" w:cs="Arial"/>
          <w:color w:val="000000" w:themeColor="text1"/>
          <w:sz w:val="22"/>
          <w:szCs w:val="22"/>
          <w:lang w:val="en-NZ"/>
        </w:rPr>
        <w:t>3</w:t>
      </w:r>
      <w:r w:rsidR="00FA1149" w:rsidRPr="00BA6009">
        <w:rPr>
          <w:rFonts w:ascii="Arial" w:hAnsi="Arial" w:cs="Arial"/>
          <w:color w:val="000000" w:themeColor="text1"/>
          <w:sz w:val="22"/>
          <w:szCs w:val="22"/>
          <w:lang w:val="en-NZ"/>
        </w:rPr>
        <w:t>3.</w:t>
      </w:r>
      <w:r w:rsidR="005F66ED" w:rsidRPr="00BA6009">
        <w:rPr>
          <w:rFonts w:ascii="Arial" w:hAnsi="Arial" w:cs="Arial"/>
          <w:color w:val="000000" w:themeColor="text1"/>
          <w:sz w:val="22"/>
          <w:szCs w:val="22"/>
          <w:lang w:val="en-NZ"/>
        </w:rPr>
        <w:t>6</w:t>
      </w:r>
      <w:r w:rsidRPr="00BA6009">
        <w:rPr>
          <w:rFonts w:ascii="Arial" w:hAnsi="Arial" w:cs="Arial"/>
          <w:color w:val="000000" w:themeColor="text1"/>
          <w:sz w:val="22"/>
          <w:szCs w:val="22"/>
          <w:lang w:val="en-NZ"/>
        </w:rPr>
        <w:t xml:space="preserve">%) included at least one severe abnormality. In scans with severe pathology, the </w:t>
      </w:r>
      <w:r w:rsidR="00AA1C17" w:rsidRPr="00BA6009">
        <w:rPr>
          <w:rFonts w:ascii="Arial" w:hAnsi="Arial" w:cs="Arial"/>
          <w:color w:val="000000" w:themeColor="text1"/>
          <w:sz w:val="22"/>
          <w:szCs w:val="22"/>
          <w:lang w:val="en-NZ"/>
        </w:rPr>
        <w:t xml:space="preserve">conditional </w:t>
      </w:r>
      <w:r w:rsidRPr="00BA6009">
        <w:rPr>
          <w:rFonts w:ascii="Arial" w:hAnsi="Arial" w:cs="Arial"/>
          <w:color w:val="000000" w:themeColor="text1"/>
          <w:sz w:val="22"/>
          <w:szCs w:val="22"/>
          <w:lang w:val="en-NZ"/>
        </w:rPr>
        <w:t xml:space="preserve">mean </w:t>
      </w:r>
      <w:r w:rsidR="00FA034E" w:rsidRPr="00BA6009">
        <w:rPr>
          <w:rFonts w:ascii="Arial" w:hAnsi="Arial" w:cs="Arial"/>
          <w:color w:val="000000" w:themeColor="text1"/>
          <w:sz w:val="22"/>
          <w:szCs w:val="22"/>
          <w:lang w:val="en-NZ"/>
        </w:rPr>
        <w:t>for</w:t>
      </w:r>
      <w:r w:rsidRPr="00BA6009">
        <w:rPr>
          <w:rFonts w:ascii="Arial" w:hAnsi="Arial" w:cs="Arial"/>
          <w:color w:val="000000" w:themeColor="text1"/>
          <w:sz w:val="22"/>
          <w:szCs w:val="22"/>
          <w:lang w:val="en-NZ"/>
        </w:rPr>
        <w:t xml:space="preserve"> severe abnormalities was 1.9 per study.</w:t>
      </w:r>
    </w:p>
    <w:p w14:paraId="133E2F74" w14:textId="77777777" w:rsidR="00C20409" w:rsidRPr="00BA6009" w:rsidRDefault="00C20409" w:rsidP="00C20409">
      <w:pPr>
        <w:rPr>
          <w:rFonts w:ascii="Arial" w:hAnsi="Arial" w:cs="Arial"/>
          <w:b/>
          <w:bCs/>
          <w:sz w:val="22"/>
          <w:szCs w:val="22"/>
          <w:lang w:val="en-NZ"/>
        </w:rPr>
      </w:pPr>
    </w:p>
    <w:p w14:paraId="53AF25C5" w14:textId="77777777" w:rsidR="00C20409" w:rsidRPr="00BA6009" w:rsidRDefault="00C20409" w:rsidP="00C20409">
      <w:pPr>
        <w:rPr>
          <w:rFonts w:ascii="Arial" w:hAnsi="Arial" w:cs="Arial"/>
          <w:sz w:val="22"/>
          <w:szCs w:val="22"/>
          <w:lang w:val="en-NZ"/>
        </w:rPr>
      </w:pPr>
      <w:r w:rsidRPr="00BA6009">
        <w:rPr>
          <w:rFonts w:ascii="Arial" w:hAnsi="Arial" w:cs="Arial"/>
          <w:b/>
          <w:bCs/>
          <w:sz w:val="22"/>
          <w:szCs w:val="22"/>
          <w:lang w:val="en-NZ"/>
        </w:rPr>
        <w:t>Conclusions:</w:t>
      </w:r>
      <w:r w:rsidRPr="00BA6009">
        <w:rPr>
          <w:rFonts w:ascii="Arial" w:hAnsi="Arial" w:cs="Arial"/>
          <w:sz w:val="22"/>
          <w:szCs w:val="22"/>
          <w:lang w:val="en-NZ"/>
        </w:rPr>
        <w:br/>
        <w:t>Over half of consecutive TTEs demonstrated clinically significant pathology. When present, abnormalities frequently coexisted and were commonly severe, underscoring the substantial burden of advanced structural heart disease within this regional referral population.</w:t>
      </w:r>
    </w:p>
    <w:p w14:paraId="0148CBFD" w14:textId="77777777" w:rsidR="00B029BB" w:rsidRPr="00BA6009" w:rsidRDefault="00B029BB">
      <w:pPr>
        <w:rPr>
          <w:rFonts w:ascii="Arial" w:hAnsi="Arial" w:cs="Arial"/>
          <w:sz w:val="22"/>
          <w:szCs w:val="22"/>
        </w:rPr>
      </w:pPr>
    </w:p>
    <w:p w14:paraId="60C65F15" w14:textId="77777777" w:rsidR="005F66ED" w:rsidRDefault="00FA034E" w:rsidP="00E904D8">
      <w:pPr>
        <w:rPr>
          <w:rFonts w:ascii="Arial" w:hAnsi="Arial" w:cs="Arial"/>
          <w:i/>
          <w:iCs/>
          <w:color w:val="000000" w:themeColor="text1"/>
          <w:sz w:val="22"/>
          <w:szCs w:val="22"/>
          <w:lang w:val="en-NZ"/>
        </w:rPr>
      </w:pPr>
      <w:r w:rsidRPr="00027E69">
        <w:rPr>
          <w:rFonts w:ascii="Arial" w:hAnsi="Arial" w:cs="Arial"/>
          <w:b/>
          <w:bCs/>
          <w:sz w:val="22"/>
          <w:szCs w:val="22"/>
          <w:lang w:val="en-NZ"/>
        </w:rPr>
        <w:t>Table 1.</w:t>
      </w:r>
      <w:r w:rsidRPr="00BA6009">
        <w:rPr>
          <w:rFonts w:ascii="Arial" w:hAnsi="Arial" w:cs="Arial"/>
          <w:sz w:val="22"/>
          <w:szCs w:val="22"/>
          <w:lang w:val="en-NZ"/>
        </w:rPr>
        <w:t xml:space="preserve"> </w:t>
      </w:r>
      <w:r w:rsidRPr="00BA6009">
        <w:rPr>
          <w:rFonts w:ascii="Arial" w:hAnsi="Arial" w:cs="Arial"/>
          <w:i/>
          <w:iCs/>
          <w:sz w:val="22"/>
          <w:szCs w:val="22"/>
          <w:lang w:val="en-NZ"/>
        </w:rPr>
        <w:t>Distribution of Moderate-or-Worse Echocardiographic Abnormalitie</w:t>
      </w:r>
      <w:r w:rsidRPr="00BA6009">
        <w:rPr>
          <w:rFonts w:ascii="Arial" w:hAnsi="Arial" w:cs="Arial"/>
          <w:i/>
          <w:iCs/>
          <w:color w:val="000000" w:themeColor="text1"/>
          <w:sz w:val="22"/>
          <w:szCs w:val="22"/>
          <w:lang w:val="en-NZ"/>
        </w:rPr>
        <w:t xml:space="preserve">s </w:t>
      </w:r>
      <w:r w:rsidR="005F66ED" w:rsidRPr="00BA6009">
        <w:rPr>
          <w:rFonts w:ascii="Arial" w:hAnsi="Arial" w:cs="Arial"/>
          <w:i/>
          <w:iCs/>
          <w:color w:val="000000" w:themeColor="text1"/>
          <w:sz w:val="22"/>
          <w:szCs w:val="22"/>
          <w:lang w:val="en-NZ"/>
        </w:rPr>
        <w:t xml:space="preserve">in 125 </w:t>
      </w:r>
      <w:r w:rsidR="00F87011" w:rsidRPr="00BA6009">
        <w:rPr>
          <w:rFonts w:ascii="Arial" w:hAnsi="Arial" w:cs="Arial"/>
          <w:i/>
          <w:iCs/>
          <w:color w:val="000000" w:themeColor="text1"/>
          <w:sz w:val="22"/>
          <w:szCs w:val="22"/>
          <w:lang w:val="en-NZ"/>
        </w:rPr>
        <w:t>C</w:t>
      </w:r>
      <w:r w:rsidR="005F66ED" w:rsidRPr="00BA6009">
        <w:rPr>
          <w:rFonts w:ascii="Arial" w:hAnsi="Arial" w:cs="Arial"/>
          <w:i/>
          <w:iCs/>
          <w:color w:val="000000" w:themeColor="text1"/>
          <w:sz w:val="22"/>
          <w:szCs w:val="22"/>
          <w:lang w:val="en-NZ"/>
        </w:rPr>
        <w:t xml:space="preserve">onsecutive </w:t>
      </w:r>
      <w:r w:rsidR="00F87011" w:rsidRPr="00BA6009">
        <w:rPr>
          <w:rFonts w:ascii="Arial" w:hAnsi="Arial" w:cs="Arial"/>
          <w:i/>
          <w:iCs/>
          <w:color w:val="000000" w:themeColor="text1"/>
          <w:sz w:val="22"/>
          <w:szCs w:val="22"/>
          <w:lang w:val="en-NZ"/>
        </w:rPr>
        <w:t>S</w:t>
      </w:r>
      <w:r w:rsidR="005F66ED" w:rsidRPr="00BA6009">
        <w:rPr>
          <w:rFonts w:ascii="Arial" w:hAnsi="Arial" w:cs="Arial"/>
          <w:i/>
          <w:iCs/>
          <w:color w:val="000000" w:themeColor="text1"/>
          <w:sz w:val="22"/>
          <w:szCs w:val="22"/>
          <w:lang w:val="en-NZ"/>
        </w:rPr>
        <w:t xml:space="preserve">tudies in a NZ </w:t>
      </w:r>
      <w:r w:rsidR="00F87011" w:rsidRPr="00BA6009">
        <w:rPr>
          <w:rFonts w:ascii="Arial" w:hAnsi="Arial" w:cs="Arial"/>
          <w:i/>
          <w:iCs/>
          <w:color w:val="000000" w:themeColor="text1"/>
          <w:sz w:val="22"/>
          <w:szCs w:val="22"/>
          <w:lang w:val="en-NZ"/>
        </w:rPr>
        <w:t>T</w:t>
      </w:r>
      <w:r w:rsidR="005F66ED" w:rsidRPr="00BA6009">
        <w:rPr>
          <w:rFonts w:ascii="Arial" w:hAnsi="Arial" w:cs="Arial"/>
          <w:i/>
          <w:iCs/>
          <w:color w:val="000000" w:themeColor="text1"/>
          <w:sz w:val="22"/>
          <w:szCs w:val="22"/>
          <w:lang w:val="en-NZ"/>
        </w:rPr>
        <w:t xml:space="preserve">ertiary </w:t>
      </w:r>
      <w:r w:rsidR="00F87011" w:rsidRPr="00BA6009">
        <w:rPr>
          <w:rFonts w:ascii="Arial" w:hAnsi="Arial" w:cs="Arial"/>
          <w:i/>
          <w:iCs/>
          <w:color w:val="000000" w:themeColor="text1"/>
          <w:sz w:val="22"/>
          <w:szCs w:val="22"/>
          <w:lang w:val="en-NZ"/>
        </w:rPr>
        <w:t>C</w:t>
      </w:r>
      <w:r w:rsidR="005F66ED" w:rsidRPr="00BA6009">
        <w:rPr>
          <w:rFonts w:ascii="Arial" w:hAnsi="Arial" w:cs="Arial"/>
          <w:i/>
          <w:iCs/>
          <w:color w:val="000000" w:themeColor="text1"/>
          <w:sz w:val="22"/>
          <w:szCs w:val="22"/>
          <w:lang w:val="en-NZ"/>
        </w:rPr>
        <w:t>entre (Te Whatu Ora Waikato)</w:t>
      </w:r>
      <w:r w:rsidR="00B029BB" w:rsidRPr="00BA6009">
        <w:rPr>
          <w:rFonts w:ascii="Arial" w:hAnsi="Arial" w:cs="Arial"/>
          <w:i/>
          <w:iCs/>
          <w:color w:val="000000" w:themeColor="text1"/>
          <w:sz w:val="22"/>
          <w:szCs w:val="22"/>
          <w:lang w:val="en-NZ"/>
        </w:rPr>
        <w:t>.</w:t>
      </w:r>
    </w:p>
    <w:p w14:paraId="353A8EFC" w14:textId="77777777" w:rsidR="009F7D18" w:rsidRPr="00BA6009" w:rsidRDefault="009F7D18" w:rsidP="00E904D8">
      <w:pPr>
        <w:rPr>
          <w:rFonts w:ascii="Arial" w:hAnsi="Arial" w:cs="Arial"/>
          <w:i/>
          <w:iCs/>
          <w:color w:val="FF0000"/>
          <w:sz w:val="22"/>
          <w:szCs w:val="22"/>
          <w:lang w:val="en-NZ"/>
        </w:rPr>
      </w:pPr>
    </w:p>
    <w:tbl>
      <w:tblPr>
        <w:tblStyle w:val="TableGrid"/>
        <w:tblW w:w="0" w:type="auto"/>
        <w:jc w:val="center"/>
        <w:tblLook w:val="04A0" w:firstRow="1" w:lastRow="0" w:firstColumn="1" w:lastColumn="0" w:noHBand="0" w:noVBand="1"/>
      </w:tblPr>
      <w:tblGrid>
        <w:gridCol w:w="2308"/>
        <w:gridCol w:w="1194"/>
        <w:gridCol w:w="1317"/>
        <w:gridCol w:w="938"/>
        <w:gridCol w:w="963"/>
      </w:tblGrid>
      <w:tr w:rsidR="00BA6009" w:rsidRPr="00920B59" w14:paraId="608A9C71" w14:textId="77777777" w:rsidTr="00BA6009">
        <w:trPr>
          <w:trHeight w:val="397"/>
          <w:jc w:val="center"/>
        </w:trPr>
        <w:tc>
          <w:tcPr>
            <w:tcW w:w="50" w:type="dxa"/>
            <w:hideMark/>
          </w:tcPr>
          <w:p w14:paraId="228C1D22" w14:textId="77777777" w:rsidR="00920B59" w:rsidRPr="00920B59" w:rsidRDefault="00920B59" w:rsidP="00920B59">
            <w:pPr>
              <w:rPr>
                <w:rFonts w:ascii="Arial" w:hAnsi="Arial" w:cs="Arial"/>
                <w:b/>
                <w:bCs/>
                <w:sz w:val="22"/>
                <w:szCs w:val="22"/>
                <w:lang w:val="en-NZ"/>
              </w:rPr>
            </w:pPr>
            <w:r w:rsidRPr="00920B59">
              <w:rPr>
                <w:rFonts w:ascii="Arial" w:hAnsi="Arial" w:cs="Arial"/>
                <w:b/>
                <w:bCs/>
                <w:sz w:val="22"/>
                <w:szCs w:val="22"/>
                <w:lang w:val="en-NZ"/>
              </w:rPr>
              <w:t>Abnormality</w:t>
            </w:r>
          </w:p>
        </w:tc>
        <w:tc>
          <w:tcPr>
            <w:tcW w:w="50" w:type="dxa"/>
            <w:hideMark/>
          </w:tcPr>
          <w:p w14:paraId="7446750B" w14:textId="77777777" w:rsidR="00920B59" w:rsidRPr="00920B59" w:rsidRDefault="00920B59" w:rsidP="00920B59">
            <w:pPr>
              <w:rPr>
                <w:rFonts w:ascii="Arial" w:hAnsi="Arial" w:cs="Arial"/>
                <w:b/>
                <w:bCs/>
                <w:sz w:val="22"/>
                <w:szCs w:val="22"/>
                <w:lang w:val="en-NZ"/>
              </w:rPr>
            </w:pPr>
            <w:r w:rsidRPr="00920B59">
              <w:rPr>
                <w:rFonts w:ascii="Arial" w:hAnsi="Arial" w:cs="Arial"/>
                <w:b/>
                <w:bCs/>
                <w:sz w:val="22"/>
                <w:szCs w:val="22"/>
                <w:lang w:val="en-NZ"/>
              </w:rPr>
              <w:t>Moderate (%)</w:t>
            </w:r>
          </w:p>
        </w:tc>
        <w:tc>
          <w:tcPr>
            <w:tcW w:w="50" w:type="dxa"/>
            <w:hideMark/>
          </w:tcPr>
          <w:p w14:paraId="4E052314" w14:textId="77777777" w:rsidR="00920B59" w:rsidRPr="00920B59" w:rsidRDefault="00920B59" w:rsidP="00920B59">
            <w:pPr>
              <w:rPr>
                <w:rFonts w:ascii="Arial" w:hAnsi="Arial" w:cs="Arial"/>
                <w:b/>
                <w:bCs/>
                <w:sz w:val="22"/>
                <w:szCs w:val="22"/>
                <w:lang w:val="en-NZ"/>
              </w:rPr>
            </w:pPr>
            <w:r w:rsidRPr="00920B59">
              <w:rPr>
                <w:rFonts w:ascii="Arial" w:hAnsi="Arial" w:cs="Arial"/>
                <w:b/>
                <w:bCs/>
                <w:sz w:val="22"/>
                <w:szCs w:val="22"/>
                <w:lang w:val="en-NZ"/>
              </w:rPr>
              <w:t>Mod</w:t>
            </w:r>
            <w:r w:rsidR="00D16A82" w:rsidRPr="00BA6009">
              <w:rPr>
                <w:rFonts w:ascii="Arial" w:hAnsi="Arial" w:cs="Arial"/>
                <w:b/>
                <w:bCs/>
                <w:sz w:val="22"/>
                <w:szCs w:val="22"/>
                <w:lang w:val="en-NZ"/>
              </w:rPr>
              <w:t>erate</w:t>
            </w:r>
            <w:r w:rsidRPr="00920B59">
              <w:rPr>
                <w:rFonts w:ascii="Arial" w:hAnsi="Arial" w:cs="Arial"/>
                <w:b/>
                <w:bCs/>
                <w:sz w:val="22"/>
                <w:szCs w:val="22"/>
                <w:lang w:val="en-NZ"/>
              </w:rPr>
              <w:t>–Severe (%)</w:t>
            </w:r>
          </w:p>
        </w:tc>
        <w:tc>
          <w:tcPr>
            <w:tcW w:w="50" w:type="dxa"/>
            <w:hideMark/>
          </w:tcPr>
          <w:p w14:paraId="361F8850" w14:textId="77777777" w:rsidR="00920B59" w:rsidRPr="00920B59" w:rsidRDefault="00920B59" w:rsidP="00920B59">
            <w:pPr>
              <w:rPr>
                <w:rFonts w:ascii="Arial" w:hAnsi="Arial" w:cs="Arial"/>
                <w:b/>
                <w:bCs/>
                <w:sz w:val="22"/>
                <w:szCs w:val="22"/>
                <w:lang w:val="en-NZ"/>
              </w:rPr>
            </w:pPr>
            <w:r w:rsidRPr="00920B59">
              <w:rPr>
                <w:rFonts w:ascii="Arial" w:hAnsi="Arial" w:cs="Arial"/>
                <w:b/>
                <w:bCs/>
                <w:sz w:val="22"/>
                <w:szCs w:val="22"/>
                <w:lang w:val="en-NZ"/>
              </w:rPr>
              <w:t>Severe (%)</w:t>
            </w:r>
          </w:p>
        </w:tc>
        <w:tc>
          <w:tcPr>
            <w:tcW w:w="50" w:type="dxa"/>
            <w:hideMark/>
          </w:tcPr>
          <w:p w14:paraId="72BD3AED" w14:textId="77777777" w:rsidR="00920B59" w:rsidRPr="00920B59" w:rsidRDefault="00920B59" w:rsidP="00920B59">
            <w:pPr>
              <w:rPr>
                <w:rFonts w:ascii="Arial" w:hAnsi="Arial" w:cs="Arial"/>
                <w:b/>
                <w:bCs/>
                <w:sz w:val="22"/>
                <w:szCs w:val="22"/>
                <w:lang w:val="en-NZ"/>
              </w:rPr>
            </w:pPr>
            <w:r w:rsidRPr="00920B59">
              <w:rPr>
                <w:rFonts w:ascii="Arial" w:hAnsi="Arial" w:cs="Arial"/>
                <w:b/>
                <w:bCs/>
                <w:sz w:val="22"/>
                <w:szCs w:val="22"/>
                <w:lang w:val="en-NZ"/>
              </w:rPr>
              <w:t>Overall (%)</w:t>
            </w:r>
          </w:p>
        </w:tc>
      </w:tr>
      <w:tr w:rsidR="00BA6009" w:rsidRPr="00920B59" w14:paraId="5A8CD527" w14:textId="77777777" w:rsidTr="00BA6009">
        <w:trPr>
          <w:trHeight w:val="397"/>
          <w:jc w:val="center"/>
        </w:trPr>
        <w:tc>
          <w:tcPr>
            <w:tcW w:w="50" w:type="dxa"/>
            <w:hideMark/>
          </w:tcPr>
          <w:p w14:paraId="40A08F1D"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LV systolic impairment</w:t>
            </w:r>
          </w:p>
        </w:tc>
        <w:tc>
          <w:tcPr>
            <w:tcW w:w="50" w:type="dxa"/>
            <w:hideMark/>
          </w:tcPr>
          <w:p w14:paraId="6A9F333C"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7.2</w:t>
            </w:r>
          </w:p>
        </w:tc>
        <w:tc>
          <w:tcPr>
            <w:tcW w:w="50" w:type="dxa"/>
            <w:hideMark/>
          </w:tcPr>
          <w:p w14:paraId="787D6D9E"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6.4</w:t>
            </w:r>
          </w:p>
        </w:tc>
        <w:tc>
          <w:tcPr>
            <w:tcW w:w="50" w:type="dxa"/>
            <w:hideMark/>
          </w:tcPr>
          <w:p w14:paraId="7EE34B05"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11.2</w:t>
            </w:r>
          </w:p>
        </w:tc>
        <w:tc>
          <w:tcPr>
            <w:tcW w:w="50" w:type="dxa"/>
            <w:hideMark/>
          </w:tcPr>
          <w:p w14:paraId="70C1EC2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24.6</w:t>
            </w:r>
          </w:p>
        </w:tc>
      </w:tr>
      <w:tr w:rsidR="00BA6009" w:rsidRPr="00920B59" w14:paraId="27198542" w14:textId="77777777" w:rsidTr="00BA6009">
        <w:trPr>
          <w:trHeight w:val="397"/>
          <w:jc w:val="center"/>
        </w:trPr>
        <w:tc>
          <w:tcPr>
            <w:tcW w:w="50" w:type="dxa"/>
            <w:hideMark/>
          </w:tcPr>
          <w:p w14:paraId="67DA1C4C"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RV systolic impairment</w:t>
            </w:r>
          </w:p>
        </w:tc>
        <w:tc>
          <w:tcPr>
            <w:tcW w:w="50" w:type="dxa"/>
            <w:hideMark/>
          </w:tcPr>
          <w:p w14:paraId="357C755D"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7.2</w:t>
            </w:r>
          </w:p>
        </w:tc>
        <w:tc>
          <w:tcPr>
            <w:tcW w:w="50" w:type="dxa"/>
            <w:hideMark/>
          </w:tcPr>
          <w:p w14:paraId="02AF3DE4"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2.4</w:t>
            </w:r>
          </w:p>
        </w:tc>
        <w:tc>
          <w:tcPr>
            <w:tcW w:w="50" w:type="dxa"/>
            <w:hideMark/>
          </w:tcPr>
          <w:p w14:paraId="17E603C9"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7.2</w:t>
            </w:r>
          </w:p>
        </w:tc>
        <w:tc>
          <w:tcPr>
            <w:tcW w:w="50" w:type="dxa"/>
            <w:hideMark/>
          </w:tcPr>
          <w:p w14:paraId="6E2BF316"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16.7</w:t>
            </w:r>
          </w:p>
        </w:tc>
      </w:tr>
      <w:tr w:rsidR="00BA6009" w:rsidRPr="00920B59" w14:paraId="7137AE4E" w14:textId="77777777" w:rsidTr="00BA6009">
        <w:trPr>
          <w:trHeight w:val="397"/>
          <w:jc w:val="center"/>
        </w:trPr>
        <w:tc>
          <w:tcPr>
            <w:tcW w:w="50" w:type="dxa"/>
            <w:hideMark/>
          </w:tcPr>
          <w:p w14:paraId="191A0EF8"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LV dilatation</w:t>
            </w:r>
          </w:p>
        </w:tc>
        <w:tc>
          <w:tcPr>
            <w:tcW w:w="50" w:type="dxa"/>
            <w:hideMark/>
          </w:tcPr>
          <w:p w14:paraId="17BCF957"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4.8</w:t>
            </w:r>
          </w:p>
        </w:tc>
        <w:tc>
          <w:tcPr>
            <w:tcW w:w="50" w:type="dxa"/>
            <w:hideMark/>
          </w:tcPr>
          <w:p w14:paraId="47B64FC1"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381E6E17"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4.0</w:t>
            </w:r>
          </w:p>
        </w:tc>
        <w:tc>
          <w:tcPr>
            <w:tcW w:w="50" w:type="dxa"/>
            <w:hideMark/>
          </w:tcPr>
          <w:p w14:paraId="02722D1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8.7</w:t>
            </w:r>
          </w:p>
        </w:tc>
      </w:tr>
      <w:tr w:rsidR="00BA6009" w:rsidRPr="00920B59" w14:paraId="632A3E7B" w14:textId="77777777" w:rsidTr="00BA6009">
        <w:trPr>
          <w:trHeight w:val="397"/>
          <w:jc w:val="center"/>
        </w:trPr>
        <w:tc>
          <w:tcPr>
            <w:tcW w:w="50" w:type="dxa"/>
            <w:hideMark/>
          </w:tcPr>
          <w:p w14:paraId="0026CAF9"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RV dilatation</w:t>
            </w:r>
          </w:p>
        </w:tc>
        <w:tc>
          <w:tcPr>
            <w:tcW w:w="50" w:type="dxa"/>
            <w:hideMark/>
          </w:tcPr>
          <w:p w14:paraId="6B455466"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8.8</w:t>
            </w:r>
          </w:p>
        </w:tc>
        <w:tc>
          <w:tcPr>
            <w:tcW w:w="50" w:type="dxa"/>
            <w:hideMark/>
          </w:tcPr>
          <w:p w14:paraId="5DC3B1C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37874C80"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3.2</w:t>
            </w:r>
          </w:p>
        </w:tc>
        <w:tc>
          <w:tcPr>
            <w:tcW w:w="50" w:type="dxa"/>
            <w:hideMark/>
          </w:tcPr>
          <w:p w14:paraId="5C8E88FD"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11.9</w:t>
            </w:r>
          </w:p>
        </w:tc>
      </w:tr>
      <w:tr w:rsidR="00BA6009" w:rsidRPr="00920B59" w14:paraId="0B83D47C" w14:textId="77777777" w:rsidTr="00BA6009">
        <w:trPr>
          <w:trHeight w:val="397"/>
          <w:jc w:val="center"/>
        </w:trPr>
        <w:tc>
          <w:tcPr>
            <w:tcW w:w="50" w:type="dxa"/>
            <w:hideMark/>
          </w:tcPr>
          <w:p w14:paraId="66ABD617"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LA dilatation</w:t>
            </w:r>
          </w:p>
        </w:tc>
        <w:tc>
          <w:tcPr>
            <w:tcW w:w="50" w:type="dxa"/>
            <w:hideMark/>
          </w:tcPr>
          <w:p w14:paraId="69410F4A"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9.6</w:t>
            </w:r>
          </w:p>
        </w:tc>
        <w:tc>
          <w:tcPr>
            <w:tcW w:w="50" w:type="dxa"/>
            <w:hideMark/>
          </w:tcPr>
          <w:p w14:paraId="7FF4690A"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5E6E98B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10.4</w:t>
            </w:r>
          </w:p>
        </w:tc>
        <w:tc>
          <w:tcPr>
            <w:tcW w:w="50" w:type="dxa"/>
            <w:hideMark/>
          </w:tcPr>
          <w:p w14:paraId="53E4CC70"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19.8</w:t>
            </w:r>
          </w:p>
        </w:tc>
      </w:tr>
      <w:tr w:rsidR="00BA6009" w:rsidRPr="00920B59" w14:paraId="456140AF" w14:textId="77777777" w:rsidTr="00BA6009">
        <w:trPr>
          <w:trHeight w:val="397"/>
          <w:jc w:val="center"/>
        </w:trPr>
        <w:tc>
          <w:tcPr>
            <w:tcW w:w="50" w:type="dxa"/>
            <w:hideMark/>
          </w:tcPr>
          <w:p w14:paraId="5B7B4CD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RA dilatation</w:t>
            </w:r>
          </w:p>
        </w:tc>
        <w:tc>
          <w:tcPr>
            <w:tcW w:w="50" w:type="dxa"/>
            <w:hideMark/>
          </w:tcPr>
          <w:p w14:paraId="243F01D6"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4.0</w:t>
            </w:r>
          </w:p>
        </w:tc>
        <w:tc>
          <w:tcPr>
            <w:tcW w:w="50" w:type="dxa"/>
            <w:hideMark/>
          </w:tcPr>
          <w:p w14:paraId="203637A6"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5B01AB07"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6.4</w:t>
            </w:r>
          </w:p>
        </w:tc>
        <w:tc>
          <w:tcPr>
            <w:tcW w:w="50" w:type="dxa"/>
            <w:hideMark/>
          </w:tcPr>
          <w:p w14:paraId="6A0B0F9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10.3</w:t>
            </w:r>
          </w:p>
        </w:tc>
      </w:tr>
      <w:tr w:rsidR="00BA6009" w:rsidRPr="00920B59" w14:paraId="36D4B9FD" w14:textId="77777777" w:rsidTr="00BA6009">
        <w:trPr>
          <w:trHeight w:val="397"/>
          <w:jc w:val="center"/>
        </w:trPr>
        <w:tc>
          <w:tcPr>
            <w:tcW w:w="50" w:type="dxa"/>
            <w:hideMark/>
          </w:tcPr>
          <w:p w14:paraId="3EFB61F3"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Aortic valve stenosis/regurgitation</w:t>
            </w:r>
          </w:p>
        </w:tc>
        <w:tc>
          <w:tcPr>
            <w:tcW w:w="50" w:type="dxa"/>
            <w:hideMark/>
          </w:tcPr>
          <w:p w14:paraId="4CE98217"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5.6</w:t>
            </w:r>
          </w:p>
        </w:tc>
        <w:tc>
          <w:tcPr>
            <w:tcW w:w="50" w:type="dxa"/>
            <w:hideMark/>
          </w:tcPr>
          <w:p w14:paraId="35308BE4"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2273740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4.0</w:t>
            </w:r>
          </w:p>
        </w:tc>
        <w:tc>
          <w:tcPr>
            <w:tcW w:w="50" w:type="dxa"/>
            <w:hideMark/>
          </w:tcPr>
          <w:p w14:paraId="423643D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9.5</w:t>
            </w:r>
          </w:p>
        </w:tc>
      </w:tr>
      <w:tr w:rsidR="00BA6009" w:rsidRPr="00920B59" w14:paraId="27643F39" w14:textId="77777777" w:rsidTr="00BA6009">
        <w:trPr>
          <w:trHeight w:val="397"/>
          <w:jc w:val="center"/>
        </w:trPr>
        <w:tc>
          <w:tcPr>
            <w:tcW w:w="50" w:type="dxa"/>
            <w:hideMark/>
          </w:tcPr>
          <w:p w14:paraId="19EFEB90"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Mitral valve stenosis/regurgitation</w:t>
            </w:r>
          </w:p>
        </w:tc>
        <w:tc>
          <w:tcPr>
            <w:tcW w:w="50" w:type="dxa"/>
            <w:hideMark/>
          </w:tcPr>
          <w:p w14:paraId="242CC62F"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3.2</w:t>
            </w:r>
          </w:p>
        </w:tc>
        <w:tc>
          <w:tcPr>
            <w:tcW w:w="50" w:type="dxa"/>
            <w:hideMark/>
          </w:tcPr>
          <w:p w14:paraId="64BBCEDD"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2.4</w:t>
            </w:r>
          </w:p>
        </w:tc>
        <w:tc>
          <w:tcPr>
            <w:tcW w:w="50" w:type="dxa"/>
            <w:hideMark/>
          </w:tcPr>
          <w:p w14:paraId="13FBF3AB"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4.0</w:t>
            </w:r>
          </w:p>
        </w:tc>
        <w:tc>
          <w:tcPr>
            <w:tcW w:w="50" w:type="dxa"/>
            <w:hideMark/>
          </w:tcPr>
          <w:p w14:paraId="43BF9281"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9.5</w:t>
            </w:r>
          </w:p>
        </w:tc>
      </w:tr>
      <w:tr w:rsidR="00BA6009" w:rsidRPr="00920B59" w14:paraId="2C401F43" w14:textId="77777777" w:rsidTr="00BA6009">
        <w:trPr>
          <w:trHeight w:val="397"/>
          <w:jc w:val="center"/>
        </w:trPr>
        <w:tc>
          <w:tcPr>
            <w:tcW w:w="50" w:type="dxa"/>
            <w:hideMark/>
          </w:tcPr>
          <w:p w14:paraId="4BDA37D0"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lastRenderedPageBreak/>
              <w:t>Tricuspid valve stenosis/regurgitation</w:t>
            </w:r>
          </w:p>
        </w:tc>
        <w:tc>
          <w:tcPr>
            <w:tcW w:w="50" w:type="dxa"/>
            <w:hideMark/>
          </w:tcPr>
          <w:p w14:paraId="0D9BF2B1"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4.8</w:t>
            </w:r>
          </w:p>
        </w:tc>
        <w:tc>
          <w:tcPr>
            <w:tcW w:w="50" w:type="dxa"/>
            <w:hideMark/>
          </w:tcPr>
          <w:p w14:paraId="32BA38C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1.6</w:t>
            </w:r>
          </w:p>
        </w:tc>
        <w:tc>
          <w:tcPr>
            <w:tcW w:w="50" w:type="dxa"/>
            <w:hideMark/>
          </w:tcPr>
          <w:p w14:paraId="2D2036C1"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3.2</w:t>
            </w:r>
          </w:p>
        </w:tc>
        <w:tc>
          <w:tcPr>
            <w:tcW w:w="50" w:type="dxa"/>
            <w:hideMark/>
          </w:tcPr>
          <w:p w14:paraId="47E16081"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9.5</w:t>
            </w:r>
          </w:p>
        </w:tc>
      </w:tr>
      <w:tr w:rsidR="00BA6009" w:rsidRPr="00920B59" w14:paraId="5E7499F5" w14:textId="77777777" w:rsidTr="00BA6009">
        <w:trPr>
          <w:trHeight w:val="397"/>
          <w:jc w:val="center"/>
        </w:trPr>
        <w:tc>
          <w:tcPr>
            <w:tcW w:w="50" w:type="dxa"/>
            <w:hideMark/>
          </w:tcPr>
          <w:p w14:paraId="32FC247C"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Aortic root dilatation (indexed)</w:t>
            </w:r>
          </w:p>
        </w:tc>
        <w:tc>
          <w:tcPr>
            <w:tcW w:w="50" w:type="dxa"/>
            <w:hideMark/>
          </w:tcPr>
          <w:p w14:paraId="0E10660B"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1.6</w:t>
            </w:r>
          </w:p>
        </w:tc>
        <w:tc>
          <w:tcPr>
            <w:tcW w:w="50" w:type="dxa"/>
            <w:hideMark/>
          </w:tcPr>
          <w:p w14:paraId="262761EE"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4FE4A833"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121583F9"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1.6</w:t>
            </w:r>
          </w:p>
        </w:tc>
      </w:tr>
      <w:tr w:rsidR="00BA6009" w:rsidRPr="00920B59" w14:paraId="55359794" w14:textId="77777777" w:rsidTr="00BA6009">
        <w:trPr>
          <w:trHeight w:val="397"/>
          <w:jc w:val="center"/>
        </w:trPr>
        <w:tc>
          <w:tcPr>
            <w:tcW w:w="50" w:type="dxa"/>
            <w:hideMark/>
          </w:tcPr>
          <w:p w14:paraId="3A43362E"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Ascending aorta dilatation (indexed)</w:t>
            </w:r>
          </w:p>
        </w:tc>
        <w:tc>
          <w:tcPr>
            <w:tcW w:w="50" w:type="dxa"/>
            <w:hideMark/>
          </w:tcPr>
          <w:p w14:paraId="3F8244F3"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0.8</w:t>
            </w:r>
          </w:p>
        </w:tc>
        <w:tc>
          <w:tcPr>
            <w:tcW w:w="50" w:type="dxa"/>
            <w:hideMark/>
          </w:tcPr>
          <w:p w14:paraId="039BE7A3"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0F120506"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1.6</w:t>
            </w:r>
          </w:p>
        </w:tc>
        <w:tc>
          <w:tcPr>
            <w:tcW w:w="50" w:type="dxa"/>
            <w:hideMark/>
          </w:tcPr>
          <w:p w14:paraId="4157827C"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2.4</w:t>
            </w:r>
          </w:p>
        </w:tc>
      </w:tr>
      <w:tr w:rsidR="00BA6009" w:rsidRPr="00920B59" w14:paraId="297E92BC" w14:textId="77777777" w:rsidTr="00BA6009">
        <w:trPr>
          <w:trHeight w:val="397"/>
          <w:jc w:val="center"/>
        </w:trPr>
        <w:tc>
          <w:tcPr>
            <w:tcW w:w="50" w:type="dxa"/>
            <w:hideMark/>
          </w:tcPr>
          <w:p w14:paraId="0404DC04"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Pericardial effusion</w:t>
            </w:r>
          </w:p>
        </w:tc>
        <w:tc>
          <w:tcPr>
            <w:tcW w:w="50" w:type="dxa"/>
            <w:hideMark/>
          </w:tcPr>
          <w:p w14:paraId="4979315C"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1.6</w:t>
            </w:r>
          </w:p>
        </w:tc>
        <w:tc>
          <w:tcPr>
            <w:tcW w:w="50" w:type="dxa"/>
            <w:hideMark/>
          </w:tcPr>
          <w:p w14:paraId="49678132"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22D42EC9"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0</w:t>
            </w:r>
          </w:p>
        </w:tc>
        <w:tc>
          <w:tcPr>
            <w:tcW w:w="50" w:type="dxa"/>
            <w:hideMark/>
          </w:tcPr>
          <w:p w14:paraId="4113A3C5" w14:textId="77777777" w:rsidR="00920B59" w:rsidRPr="00920B59" w:rsidRDefault="00920B59" w:rsidP="00920B59">
            <w:pPr>
              <w:rPr>
                <w:rFonts w:ascii="Arial" w:hAnsi="Arial" w:cs="Arial"/>
                <w:sz w:val="22"/>
                <w:szCs w:val="22"/>
                <w:lang w:val="en-NZ"/>
              </w:rPr>
            </w:pPr>
            <w:r w:rsidRPr="00920B59">
              <w:rPr>
                <w:rFonts w:ascii="Arial" w:hAnsi="Arial" w:cs="Arial"/>
                <w:sz w:val="22"/>
                <w:szCs w:val="22"/>
                <w:lang w:val="en-NZ"/>
              </w:rPr>
              <w:t>1.6</w:t>
            </w:r>
          </w:p>
        </w:tc>
      </w:tr>
    </w:tbl>
    <w:p w14:paraId="77D00BC9" w14:textId="77777777" w:rsidR="00FA034E" w:rsidRPr="00BA6009" w:rsidRDefault="00FA034E">
      <w:pPr>
        <w:rPr>
          <w:rFonts w:ascii="Arial" w:hAnsi="Arial" w:cs="Arial"/>
          <w:sz w:val="22"/>
          <w:szCs w:val="22"/>
        </w:rPr>
      </w:pPr>
    </w:p>
    <w:sectPr w:rsidR="00FA034E" w:rsidRPr="00BA6009" w:rsidSect="008523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D1059D4-0152-42E3-B977-5EDF2449A27C}"/>
    <w:docVar w:name="dgnword-eventsink" w:val="506343776"/>
  </w:docVars>
  <w:rsids>
    <w:rsidRoot w:val="00C20409"/>
    <w:rsid w:val="00007C17"/>
    <w:rsid w:val="00024021"/>
    <w:rsid w:val="00027E69"/>
    <w:rsid w:val="0003027C"/>
    <w:rsid w:val="0004608E"/>
    <w:rsid w:val="00050FA2"/>
    <w:rsid w:val="00052A80"/>
    <w:rsid w:val="00071A04"/>
    <w:rsid w:val="000B3F82"/>
    <w:rsid w:val="000C5404"/>
    <w:rsid w:val="000D1D83"/>
    <w:rsid w:val="000D4B54"/>
    <w:rsid w:val="000E7B68"/>
    <w:rsid w:val="00114D70"/>
    <w:rsid w:val="0014586E"/>
    <w:rsid w:val="001537B9"/>
    <w:rsid w:val="001553AC"/>
    <w:rsid w:val="00164194"/>
    <w:rsid w:val="00164F2C"/>
    <w:rsid w:val="0019013A"/>
    <w:rsid w:val="001A4F68"/>
    <w:rsid w:val="001A5781"/>
    <w:rsid w:val="001C455B"/>
    <w:rsid w:val="001C6224"/>
    <w:rsid w:val="001F20A8"/>
    <w:rsid w:val="001F5B3D"/>
    <w:rsid w:val="001F7268"/>
    <w:rsid w:val="00214504"/>
    <w:rsid w:val="00214AAC"/>
    <w:rsid w:val="00242910"/>
    <w:rsid w:val="002430C9"/>
    <w:rsid w:val="00256DA8"/>
    <w:rsid w:val="00274328"/>
    <w:rsid w:val="00277EB7"/>
    <w:rsid w:val="00280885"/>
    <w:rsid w:val="00297797"/>
    <w:rsid w:val="002A543A"/>
    <w:rsid w:val="002C6154"/>
    <w:rsid w:val="002D71AD"/>
    <w:rsid w:val="002D7D56"/>
    <w:rsid w:val="002E6F21"/>
    <w:rsid w:val="002E7C92"/>
    <w:rsid w:val="00303621"/>
    <w:rsid w:val="00316B09"/>
    <w:rsid w:val="00325184"/>
    <w:rsid w:val="003411F8"/>
    <w:rsid w:val="00350F5D"/>
    <w:rsid w:val="00357F9E"/>
    <w:rsid w:val="00370C64"/>
    <w:rsid w:val="00385FF8"/>
    <w:rsid w:val="003916D0"/>
    <w:rsid w:val="003A0363"/>
    <w:rsid w:val="003A21EC"/>
    <w:rsid w:val="003A751B"/>
    <w:rsid w:val="003B64F9"/>
    <w:rsid w:val="003B7672"/>
    <w:rsid w:val="003C465C"/>
    <w:rsid w:val="003E011D"/>
    <w:rsid w:val="004041AE"/>
    <w:rsid w:val="00404B6B"/>
    <w:rsid w:val="0042343E"/>
    <w:rsid w:val="00426345"/>
    <w:rsid w:val="00432AE4"/>
    <w:rsid w:val="00436E7B"/>
    <w:rsid w:val="004531EA"/>
    <w:rsid w:val="0045675F"/>
    <w:rsid w:val="00475A59"/>
    <w:rsid w:val="004828D3"/>
    <w:rsid w:val="004A2408"/>
    <w:rsid w:val="004A50EB"/>
    <w:rsid w:val="004A589F"/>
    <w:rsid w:val="004A5D4C"/>
    <w:rsid w:val="004C1A40"/>
    <w:rsid w:val="00504778"/>
    <w:rsid w:val="00521B40"/>
    <w:rsid w:val="00574060"/>
    <w:rsid w:val="0059036A"/>
    <w:rsid w:val="005908EA"/>
    <w:rsid w:val="005A3A68"/>
    <w:rsid w:val="005C34E9"/>
    <w:rsid w:val="005C3F41"/>
    <w:rsid w:val="005E0149"/>
    <w:rsid w:val="005F66ED"/>
    <w:rsid w:val="006034AD"/>
    <w:rsid w:val="00613D22"/>
    <w:rsid w:val="00634640"/>
    <w:rsid w:val="00644943"/>
    <w:rsid w:val="006537F3"/>
    <w:rsid w:val="0065418C"/>
    <w:rsid w:val="006F55F2"/>
    <w:rsid w:val="00703B69"/>
    <w:rsid w:val="00716605"/>
    <w:rsid w:val="00735A4D"/>
    <w:rsid w:val="00743B52"/>
    <w:rsid w:val="00752E8B"/>
    <w:rsid w:val="00774B49"/>
    <w:rsid w:val="007841D8"/>
    <w:rsid w:val="00784D7D"/>
    <w:rsid w:val="007967C0"/>
    <w:rsid w:val="007F6BF1"/>
    <w:rsid w:val="007F6F32"/>
    <w:rsid w:val="0080031D"/>
    <w:rsid w:val="00811617"/>
    <w:rsid w:val="00813B3B"/>
    <w:rsid w:val="00831B1C"/>
    <w:rsid w:val="0083271C"/>
    <w:rsid w:val="0083624A"/>
    <w:rsid w:val="00840D8A"/>
    <w:rsid w:val="0084315E"/>
    <w:rsid w:val="00846B76"/>
    <w:rsid w:val="008508A2"/>
    <w:rsid w:val="0085238C"/>
    <w:rsid w:val="008611EA"/>
    <w:rsid w:val="00895C73"/>
    <w:rsid w:val="008A1456"/>
    <w:rsid w:val="008C0FF8"/>
    <w:rsid w:val="008C1938"/>
    <w:rsid w:val="008D37EE"/>
    <w:rsid w:val="008E1C28"/>
    <w:rsid w:val="00904880"/>
    <w:rsid w:val="00920B59"/>
    <w:rsid w:val="009219EE"/>
    <w:rsid w:val="009273A3"/>
    <w:rsid w:val="009301A3"/>
    <w:rsid w:val="00955ACF"/>
    <w:rsid w:val="00965419"/>
    <w:rsid w:val="009E6C12"/>
    <w:rsid w:val="009F2019"/>
    <w:rsid w:val="009F3725"/>
    <w:rsid w:val="009F7D18"/>
    <w:rsid w:val="00A111D1"/>
    <w:rsid w:val="00A149BA"/>
    <w:rsid w:val="00A21515"/>
    <w:rsid w:val="00A35240"/>
    <w:rsid w:val="00A36EFB"/>
    <w:rsid w:val="00A4196B"/>
    <w:rsid w:val="00A90691"/>
    <w:rsid w:val="00AA17C5"/>
    <w:rsid w:val="00AA1C17"/>
    <w:rsid w:val="00AB0D25"/>
    <w:rsid w:val="00B029BB"/>
    <w:rsid w:val="00B2468B"/>
    <w:rsid w:val="00B25C77"/>
    <w:rsid w:val="00B25D66"/>
    <w:rsid w:val="00B55829"/>
    <w:rsid w:val="00B66843"/>
    <w:rsid w:val="00B668E3"/>
    <w:rsid w:val="00B7135F"/>
    <w:rsid w:val="00BA1498"/>
    <w:rsid w:val="00BA6009"/>
    <w:rsid w:val="00BB3473"/>
    <w:rsid w:val="00BD2A2A"/>
    <w:rsid w:val="00BF0FF6"/>
    <w:rsid w:val="00BF3EF3"/>
    <w:rsid w:val="00C02A4A"/>
    <w:rsid w:val="00C04887"/>
    <w:rsid w:val="00C1327E"/>
    <w:rsid w:val="00C20409"/>
    <w:rsid w:val="00C47001"/>
    <w:rsid w:val="00C5015D"/>
    <w:rsid w:val="00C64A03"/>
    <w:rsid w:val="00C8181A"/>
    <w:rsid w:val="00C854A4"/>
    <w:rsid w:val="00C90DA8"/>
    <w:rsid w:val="00C96420"/>
    <w:rsid w:val="00CB07B5"/>
    <w:rsid w:val="00CC6A8E"/>
    <w:rsid w:val="00CD5497"/>
    <w:rsid w:val="00D00B0D"/>
    <w:rsid w:val="00D01537"/>
    <w:rsid w:val="00D03E43"/>
    <w:rsid w:val="00D10B0A"/>
    <w:rsid w:val="00D1124C"/>
    <w:rsid w:val="00D16A82"/>
    <w:rsid w:val="00D21F09"/>
    <w:rsid w:val="00D3022A"/>
    <w:rsid w:val="00D45FFE"/>
    <w:rsid w:val="00D557DC"/>
    <w:rsid w:val="00D67487"/>
    <w:rsid w:val="00D67A8D"/>
    <w:rsid w:val="00DA2DDE"/>
    <w:rsid w:val="00DA44C5"/>
    <w:rsid w:val="00DB0A4B"/>
    <w:rsid w:val="00DC2CA4"/>
    <w:rsid w:val="00DE2636"/>
    <w:rsid w:val="00DE293F"/>
    <w:rsid w:val="00DF0A7B"/>
    <w:rsid w:val="00E04EA2"/>
    <w:rsid w:val="00E710E4"/>
    <w:rsid w:val="00E85316"/>
    <w:rsid w:val="00E8797E"/>
    <w:rsid w:val="00E904D8"/>
    <w:rsid w:val="00EA7A04"/>
    <w:rsid w:val="00EB4DF8"/>
    <w:rsid w:val="00EB75B7"/>
    <w:rsid w:val="00EC313B"/>
    <w:rsid w:val="00EF10D5"/>
    <w:rsid w:val="00F02455"/>
    <w:rsid w:val="00F03077"/>
    <w:rsid w:val="00F0669B"/>
    <w:rsid w:val="00F12A9F"/>
    <w:rsid w:val="00F341BE"/>
    <w:rsid w:val="00F379C0"/>
    <w:rsid w:val="00F4237A"/>
    <w:rsid w:val="00F62022"/>
    <w:rsid w:val="00F717D2"/>
    <w:rsid w:val="00F84ED2"/>
    <w:rsid w:val="00F87011"/>
    <w:rsid w:val="00F90E05"/>
    <w:rsid w:val="00F946BE"/>
    <w:rsid w:val="00FA034E"/>
    <w:rsid w:val="00FA1149"/>
    <w:rsid w:val="00FA11DB"/>
    <w:rsid w:val="00FA132A"/>
    <w:rsid w:val="00FA4788"/>
    <w:rsid w:val="00FA5E2E"/>
    <w:rsid w:val="00FC563B"/>
    <w:rsid w:val="00FF5C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C4E0"/>
  <w15:chartTrackingRefBased/>
  <w15:docId w15:val="{24FC766E-65FD-0B43-9716-21E96A26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20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4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4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4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4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409"/>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C20409"/>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C20409"/>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C20409"/>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C20409"/>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C20409"/>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C20409"/>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C20409"/>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C20409"/>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C204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409"/>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204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409"/>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C204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0409"/>
    <w:rPr>
      <w:i/>
      <w:iCs/>
      <w:color w:val="404040" w:themeColor="text1" w:themeTint="BF"/>
      <w:lang w:val="en-AU"/>
    </w:rPr>
  </w:style>
  <w:style w:type="paragraph" w:styleId="ListParagraph">
    <w:name w:val="List Paragraph"/>
    <w:basedOn w:val="Normal"/>
    <w:uiPriority w:val="34"/>
    <w:qFormat/>
    <w:rsid w:val="00C20409"/>
    <w:pPr>
      <w:ind w:left="720"/>
      <w:contextualSpacing/>
    </w:pPr>
  </w:style>
  <w:style w:type="character" w:styleId="IntenseEmphasis">
    <w:name w:val="Intense Emphasis"/>
    <w:basedOn w:val="DefaultParagraphFont"/>
    <w:uiPriority w:val="21"/>
    <w:qFormat/>
    <w:rsid w:val="00C20409"/>
    <w:rPr>
      <w:i/>
      <w:iCs/>
      <w:color w:val="0F4761" w:themeColor="accent1" w:themeShade="BF"/>
    </w:rPr>
  </w:style>
  <w:style w:type="paragraph" w:styleId="IntenseQuote">
    <w:name w:val="Intense Quote"/>
    <w:basedOn w:val="Normal"/>
    <w:next w:val="Normal"/>
    <w:link w:val="IntenseQuoteChar"/>
    <w:uiPriority w:val="30"/>
    <w:qFormat/>
    <w:rsid w:val="00C20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409"/>
    <w:rPr>
      <w:i/>
      <w:iCs/>
      <w:color w:val="0F4761" w:themeColor="accent1" w:themeShade="BF"/>
      <w:lang w:val="en-AU"/>
    </w:rPr>
  </w:style>
  <w:style w:type="character" w:styleId="IntenseReference">
    <w:name w:val="Intense Reference"/>
    <w:basedOn w:val="DefaultParagraphFont"/>
    <w:uiPriority w:val="32"/>
    <w:qFormat/>
    <w:rsid w:val="00C20409"/>
    <w:rPr>
      <w:b/>
      <w:bCs/>
      <w:smallCaps/>
      <w:color w:val="0F4761" w:themeColor="accent1" w:themeShade="BF"/>
      <w:spacing w:val="5"/>
    </w:rPr>
  </w:style>
  <w:style w:type="table" w:styleId="TableGrid">
    <w:name w:val="Table Grid"/>
    <w:basedOn w:val="TableNormal"/>
    <w:uiPriority w:val="39"/>
    <w:rsid w:val="00920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80815">
      <w:bodyDiv w:val="1"/>
      <w:marLeft w:val="0"/>
      <w:marRight w:val="0"/>
      <w:marTop w:val="0"/>
      <w:marBottom w:val="0"/>
      <w:divBdr>
        <w:top w:val="none" w:sz="0" w:space="0" w:color="auto"/>
        <w:left w:val="none" w:sz="0" w:space="0" w:color="auto"/>
        <w:bottom w:val="none" w:sz="0" w:space="0" w:color="auto"/>
        <w:right w:val="none" w:sz="0" w:space="0" w:color="auto"/>
      </w:divBdr>
    </w:div>
    <w:div w:id="647787905">
      <w:bodyDiv w:val="1"/>
      <w:marLeft w:val="0"/>
      <w:marRight w:val="0"/>
      <w:marTop w:val="0"/>
      <w:marBottom w:val="0"/>
      <w:divBdr>
        <w:top w:val="none" w:sz="0" w:space="0" w:color="auto"/>
        <w:left w:val="none" w:sz="0" w:space="0" w:color="auto"/>
        <w:bottom w:val="none" w:sz="0" w:space="0" w:color="auto"/>
        <w:right w:val="none" w:sz="0" w:space="0" w:color="auto"/>
      </w:divBdr>
    </w:div>
    <w:div w:id="763839768">
      <w:bodyDiv w:val="1"/>
      <w:marLeft w:val="0"/>
      <w:marRight w:val="0"/>
      <w:marTop w:val="0"/>
      <w:marBottom w:val="0"/>
      <w:divBdr>
        <w:top w:val="none" w:sz="0" w:space="0" w:color="auto"/>
        <w:left w:val="none" w:sz="0" w:space="0" w:color="auto"/>
        <w:bottom w:val="none" w:sz="0" w:space="0" w:color="auto"/>
        <w:right w:val="none" w:sz="0" w:space="0" w:color="auto"/>
      </w:divBdr>
    </w:div>
    <w:div w:id="1673798861">
      <w:bodyDiv w:val="1"/>
      <w:marLeft w:val="0"/>
      <w:marRight w:val="0"/>
      <w:marTop w:val="0"/>
      <w:marBottom w:val="0"/>
      <w:divBdr>
        <w:top w:val="none" w:sz="0" w:space="0" w:color="auto"/>
        <w:left w:val="none" w:sz="0" w:space="0" w:color="auto"/>
        <w:bottom w:val="none" w:sz="0" w:space="0" w:color="auto"/>
        <w:right w:val="none" w:sz="0" w:space="0" w:color="auto"/>
      </w:divBdr>
    </w:div>
    <w:div w:id="1930191760">
      <w:bodyDiv w:val="1"/>
      <w:marLeft w:val="0"/>
      <w:marRight w:val="0"/>
      <w:marTop w:val="0"/>
      <w:marBottom w:val="0"/>
      <w:divBdr>
        <w:top w:val="none" w:sz="0" w:space="0" w:color="auto"/>
        <w:left w:val="none" w:sz="0" w:space="0" w:color="auto"/>
        <w:bottom w:val="none" w:sz="0" w:space="0" w:color="auto"/>
        <w:right w:val="none" w:sz="0" w:space="0" w:color="auto"/>
      </w:divBdr>
    </w:div>
    <w:div w:id="21328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Janoschka Van Zyl</dc:creator>
  <cp:keywords/>
  <dc:description/>
  <cp:lastModifiedBy>Kaylah McBirney</cp:lastModifiedBy>
  <cp:revision>2</cp:revision>
  <dcterms:created xsi:type="dcterms:W3CDTF">2026-05-05T01:13:00Z</dcterms:created>
  <dcterms:modified xsi:type="dcterms:W3CDTF">2026-05-05T01:13:00Z</dcterms:modified>
</cp:coreProperties>
</file>