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7EF6" w14:textId="77777777" w:rsidR="00192A5E" w:rsidRDefault="00192A5E"/>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192A5E" w14:paraId="76383D8F" w14:textId="77777777">
        <w:tc>
          <w:tcPr>
            <w:tcW w:w="8640" w:type="dxa"/>
            <w:shd w:val="clear" w:color="auto" w:fill="F2F2F2"/>
          </w:tcPr>
          <w:p w14:paraId="73736E71" w14:textId="330053BD" w:rsidR="00192A5E" w:rsidRPr="002949A5" w:rsidRDefault="002949A5">
            <w:pPr>
              <w:jc w:val="both"/>
              <w:rPr>
                <w:rFonts w:ascii="Arial" w:eastAsia="Arial" w:hAnsi="Arial" w:cs="Arial"/>
                <w:bCs/>
                <w:i/>
                <w:iCs/>
                <w:sz w:val="22"/>
                <w:szCs w:val="22"/>
              </w:rPr>
            </w:pPr>
            <w:r w:rsidRPr="002949A5">
              <w:rPr>
                <w:rFonts w:ascii="Arial" w:eastAsia="Arial" w:hAnsi="Arial" w:cs="Arial"/>
                <w:bCs/>
                <w:i/>
                <w:iCs/>
                <w:sz w:val="22"/>
                <w:szCs w:val="22"/>
              </w:rPr>
              <w:t>Side event</w:t>
            </w:r>
          </w:p>
          <w:p w14:paraId="2E60E568" w14:textId="77777777" w:rsidR="00192A5E" w:rsidRPr="002949A5" w:rsidRDefault="00F92328">
            <w:pPr>
              <w:jc w:val="both"/>
              <w:rPr>
                <w:rFonts w:ascii="Arial" w:eastAsia="Arial" w:hAnsi="Arial" w:cs="Arial"/>
                <w:b/>
                <w:bCs/>
                <w:sz w:val="22"/>
                <w:szCs w:val="22"/>
              </w:rPr>
            </w:pPr>
            <w:r w:rsidRPr="002949A5">
              <w:rPr>
                <w:rFonts w:ascii="Arial" w:eastAsia="Arial" w:hAnsi="Arial" w:cs="Arial"/>
                <w:b/>
                <w:bCs/>
                <w:sz w:val="22"/>
                <w:szCs w:val="22"/>
              </w:rPr>
              <w:t>Building community resilience through digital collaboration: Leveraging the Resilience Explorer platform for climate adaptation planning</w:t>
            </w:r>
          </w:p>
          <w:p w14:paraId="564D801A" w14:textId="77777777" w:rsidR="00192A5E" w:rsidRDefault="00192A5E">
            <w:pPr>
              <w:jc w:val="both"/>
              <w:rPr>
                <w:rFonts w:ascii="Arial" w:eastAsia="Arial" w:hAnsi="Arial" w:cs="Arial"/>
                <w:sz w:val="22"/>
                <w:szCs w:val="22"/>
              </w:rPr>
            </w:pPr>
          </w:p>
        </w:tc>
      </w:tr>
      <w:tr w:rsidR="00192A5E" w14:paraId="6A4E7284" w14:textId="77777777">
        <w:trPr>
          <w:trHeight w:val="1511"/>
        </w:trPr>
        <w:tc>
          <w:tcPr>
            <w:tcW w:w="8640" w:type="dxa"/>
          </w:tcPr>
          <w:p w14:paraId="012968DA" w14:textId="77777777" w:rsidR="00192A5E" w:rsidRDefault="00192A5E">
            <w:pPr>
              <w:rPr>
                <w:rFonts w:ascii="Arial" w:eastAsia="Arial" w:hAnsi="Arial" w:cs="Arial"/>
                <w:b/>
                <w:sz w:val="22"/>
                <w:szCs w:val="22"/>
              </w:rPr>
            </w:pPr>
          </w:p>
          <w:p w14:paraId="2CA834AF" w14:textId="77777777" w:rsidR="00192A5E" w:rsidRDefault="00F92328">
            <w:pPr>
              <w:jc w:val="both"/>
              <w:rPr>
                <w:rFonts w:ascii="Arial" w:eastAsia="Arial" w:hAnsi="Arial" w:cs="Arial"/>
                <w:sz w:val="22"/>
                <w:szCs w:val="22"/>
              </w:rPr>
            </w:pPr>
            <w:r>
              <w:rPr>
                <w:rFonts w:ascii="Arial" w:eastAsia="Arial" w:hAnsi="Arial" w:cs="Arial"/>
                <w:sz w:val="22"/>
                <w:szCs w:val="22"/>
              </w:rPr>
              <w:t>Climate adaptation planning requires evidence-based decision-making across multiple sectors, timeframes, and stakeholders. Traditional approaches often struggle with data integration, scenario visualisation, and maintaining consistent risk understanding across different teams and communities. This co-creation session will showcase how digital platforms like Resilience Explorer are transforming adaptation processes through collaborative, data-driven approaches, using Christchurch City's climate adaptation journey as a case study.</w:t>
            </w:r>
          </w:p>
          <w:p w14:paraId="4BF9EDF9" w14:textId="77777777" w:rsidR="00192A5E" w:rsidRDefault="00192A5E">
            <w:pPr>
              <w:jc w:val="both"/>
              <w:rPr>
                <w:rFonts w:ascii="Arial" w:eastAsia="Arial" w:hAnsi="Arial" w:cs="Arial"/>
                <w:sz w:val="22"/>
                <w:szCs w:val="22"/>
              </w:rPr>
            </w:pPr>
          </w:p>
          <w:p w14:paraId="4E2B4AFA" w14:textId="77777777" w:rsidR="00192A5E" w:rsidRDefault="00F92328">
            <w:pPr>
              <w:jc w:val="both"/>
              <w:rPr>
                <w:rFonts w:ascii="Arial" w:eastAsia="Arial" w:hAnsi="Arial" w:cs="Arial"/>
                <w:sz w:val="22"/>
                <w:szCs w:val="22"/>
              </w:rPr>
            </w:pPr>
            <w:r>
              <w:rPr>
                <w:rFonts w:ascii="Arial" w:eastAsia="Arial" w:hAnsi="Arial" w:cs="Arial"/>
                <w:sz w:val="22"/>
                <w:szCs w:val="22"/>
              </w:rPr>
              <w:t xml:space="preserve">The session will begin with a brief introduction to the challenges of urban climate adaptation planning, particularly for coastal cities facing sea level rise. We'll outline how Christchurch City Council has integrated the Resilience Explorer platform into their adaptation processes to </w:t>
            </w:r>
            <w:proofErr w:type="spellStart"/>
            <w:r>
              <w:rPr>
                <w:rFonts w:ascii="Arial" w:eastAsia="Arial" w:hAnsi="Arial" w:cs="Arial"/>
                <w:sz w:val="22"/>
                <w:szCs w:val="22"/>
              </w:rPr>
              <w:t>apbetter</w:t>
            </w:r>
            <w:proofErr w:type="spellEnd"/>
            <w:r>
              <w:rPr>
                <w:rFonts w:ascii="Arial" w:eastAsia="Arial" w:hAnsi="Arial" w:cs="Arial"/>
                <w:sz w:val="22"/>
                <w:szCs w:val="22"/>
              </w:rPr>
              <w:t xml:space="preserve"> understand asset vulnerability, identify priority adaptation locations, and support community engagement.</w:t>
            </w:r>
          </w:p>
          <w:p w14:paraId="6DE82EFC" w14:textId="77777777" w:rsidR="00192A5E" w:rsidRDefault="00192A5E">
            <w:pPr>
              <w:jc w:val="both"/>
              <w:rPr>
                <w:rFonts w:ascii="Arial" w:eastAsia="Arial" w:hAnsi="Arial" w:cs="Arial"/>
                <w:sz w:val="22"/>
                <w:szCs w:val="22"/>
              </w:rPr>
            </w:pPr>
          </w:p>
          <w:p w14:paraId="7F5F7566" w14:textId="77777777" w:rsidR="00192A5E" w:rsidRDefault="00F92328">
            <w:pPr>
              <w:jc w:val="both"/>
              <w:rPr>
                <w:rFonts w:ascii="Arial" w:eastAsia="Arial" w:hAnsi="Arial" w:cs="Arial"/>
                <w:sz w:val="22"/>
                <w:szCs w:val="22"/>
              </w:rPr>
            </w:pPr>
            <w:r>
              <w:rPr>
                <w:rFonts w:ascii="Arial" w:eastAsia="Arial" w:hAnsi="Arial" w:cs="Arial"/>
                <w:sz w:val="22"/>
                <w:szCs w:val="22"/>
              </w:rPr>
              <w:t>We'll then transition to an interactive demonstration of how digital tools enable improved:</w:t>
            </w:r>
          </w:p>
          <w:p w14:paraId="0C27D400" w14:textId="77777777" w:rsidR="00192A5E" w:rsidRDefault="00F92328">
            <w:pPr>
              <w:numPr>
                <w:ilvl w:val="0"/>
                <w:numId w:val="2"/>
              </w:numPr>
              <w:jc w:val="both"/>
              <w:rPr>
                <w:rFonts w:ascii="Arial" w:eastAsia="Arial" w:hAnsi="Arial" w:cs="Arial"/>
                <w:sz w:val="22"/>
                <w:szCs w:val="22"/>
              </w:rPr>
            </w:pPr>
            <w:r>
              <w:rPr>
                <w:rFonts w:ascii="Arial" w:eastAsia="Arial" w:hAnsi="Arial" w:cs="Arial"/>
                <w:sz w:val="22"/>
                <w:szCs w:val="22"/>
              </w:rPr>
              <w:t>Visualisation of complex risk data across multiple timeframes and scenarios</w:t>
            </w:r>
          </w:p>
          <w:p w14:paraId="6EFCC6E9" w14:textId="77777777" w:rsidR="00192A5E" w:rsidRDefault="00F92328">
            <w:pPr>
              <w:numPr>
                <w:ilvl w:val="0"/>
                <w:numId w:val="2"/>
              </w:numPr>
              <w:jc w:val="both"/>
              <w:rPr>
                <w:rFonts w:ascii="Arial" w:eastAsia="Arial" w:hAnsi="Arial" w:cs="Arial"/>
                <w:sz w:val="22"/>
                <w:szCs w:val="22"/>
              </w:rPr>
            </w:pPr>
            <w:r>
              <w:rPr>
                <w:rFonts w:ascii="Arial" w:eastAsia="Arial" w:hAnsi="Arial" w:cs="Arial"/>
                <w:sz w:val="22"/>
                <w:szCs w:val="22"/>
              </w:rPr>
              <w:t>Consistent understanding of risk across different stakeholders</w:t>
            </w:r>
          </w:p>
          <w:p w14:paraId="7267BA59" w14:textId="77777777" w:rsidR="00192A5E" w:rsidRDefault="00F92328">
            <w:pPr>
              <w:numPr>
                <w:ilvl w:val="0"/>
                <w:numId w:val="2"/>
              </w:numPr>
              <w:jc w:val="both"/>
              <w:rPr>
                <w:rFonts w:ascii="Arial" w:eastAsia="Arial" w:hAnsi="Arial" w:cs="Arial"/>
                <w:sz w:val="22"/>
                <w:szCs w:val="22"/>
              </w:rPr>
            </w:pPr>
            <w:r>
              <w:rPr>
                <w:rFonts w:ascii="Arial" w:eastAsia="Arial" w:hAnsi="Arial" w:cs="Arial"/>
                <w:sz w:val="22"/>
                <w:szCs w:val="22"/>
              </w:rPr>
              <w:t>Integration of technical and local knowledge</w:t>
            </w:r>
          </w:p>
          <w:p w14:paraId="1064E325" w14:textId="77777777" w:rsidR="00192A5E" w:rsidRDefault="00F92328">
            <w:pPr>
              <w:numPr>
                <w:ilvl w:val="0"/>
                <w:numId w:val="2"/>
              </w:numPr>
              <w:jc w:val="both"/>
              <w:rPr>
                <w:rFonts w:ascii="Arial" w:eastAsia="Arial" w:hAnsi="Arial" w:cs="Arial"/>
                <w:sz w:val="22"/>
                <w:szCs w:val="22"/>
              </w:rPr>
            </w:pPr>
            <w:r>
              <w:rPr>
                <w:rFonts w:ascii="Arial" w:eastAsia="Arial" w:hAnsi="Arial" w:cs="Arial"/>
                <w:sz w:val="22"/>
                <w:szCs w:val="22"/>
              </w:rPr>
              <w:t>Adaptive pathway development and threshold monitoring</w:t>
            </w:r>
          </w:p>
          <w:p w14:paraId="096AAAD5" w14:textId="77777777" w:rsidR="00192A5E" w:rsidRDefault="00F92328">
            <w:pPr>
              <w:numPr>
                <w:ilvl w:val="0"/>
                <w:numId w:val="2"/>
              </w:numPr>
              <w:jc w:val="both"/>
              <w:rPr>
                <w:rFonts w:ascii="Arial" w:eastAsia="Arial" w:hAnsi="Arial" w:cs="Arial"/>
                <w:sz w:val="22"/>
                <w:szCs w:val="22"/>
              </w:rPr>
            </w:pPr>
            <w:r>
              <w:rPr>
                <w:rFonts w:ascii="Arial" w:eastAsia="Arial" w:hAnsi="Arial" w:cs="Arial"/>
                <w:sz w:val="22"/>
                <w:szCs w:val="22"/>
              </w:rPr>
              <w:t>Community engagement and co-creation of adaptation options</w:t>
            </w:r>
          </w:p>
          <w:p w14:paraId="5C285D2F" w14:textId="77777777" w:rsidR="00192A5E" w:rsidRDefault="00192A5E">
            <w:pPr>
              <w:jc w:val="both"/>
              <w:rPr>
                <w:rFonts w:ascii="Arial" w:eastAsia="Arial" w:hAnsi="Arial" w:cs="Arial"/>
                <w:sz w:val="22"/>
                <w:szCs w:val="22"/>
              </w:rPr>
            </w:pPr>
          </w:p>
          <w:p w14:paraId="138BA992" w14:textId="77777777" w:rsidR="00192A5E" w:rsidRDefault="00F92328">
            <w:pPr>
              <w:jc w:val="both"/>
              <w:rPr>
                <w:rFonts w:ascii="Arial" w:eastAsia="Arial" w:hAnsi="Arial" w:cs="Arial"/>
                <w:sz w:val="22"/>
                <w:szCs w:val="22"/>
              </w:rPr>
            </w:pPr>
            <w:r>
              <w:rPr>
                <w:rFonts w:ascii="Arial" w:eastAsia="Arial" w:hAnsi="Arial" w:cs="Arial"/>
                <w:sz w:val="22"/>
                <w:szCs w:val="22"/>
              </w:rPr>
              <w:t>The core of the session will involve facilitated small-group activities where participants will experience firsthand how digital platforms can enhance different stages of the adaptation planning process. Groups will rotate through stations focused on:</w:t>
            </w:r>
          </w:p>
          <w:p w14:paraId="6FF5032E" w14:textId="77777777" w:rsidR="00192A5E" w:rsidRDefault="00F92328">
            <w:pPr>
              <w:numPr>
                <w:ilvl w:val="0"/>
                <w:numId w:val="3"/>
              </w:numPr>
              <w:jc w:val="both"/>
              <w:rPr>
                <w:rFonts w:ascii="Arial" w:eastAsia="Arial" w:hAnsi="Arial" w:cs="Arial"/>
                <w:sz w:val="22"/>
                <w:szCs w:val="22"/>
              </w:rPr>
            </w:pPr>
            <w:r>
              <w:rPr>
                <w:rFonts w:ascii="Arial" w:eastAsia="Arial" w:hAnsi="Arial" w:cs="Arial"/>
                <w:b/>
                <w:sz w:val="22"/>
                <w:szCs w:val="22"/>
              </w:rPr>
              <w:t>Risk Assessment</w:t>
            </w:r>
            <w:r>
              <w:rPr>
                <w:rFonts w:ascii="Arial" w:eastAsia="Arial" w:hAnsi="Arial" w:cs="Arial"/>
                <w:sz w:val="22"/>
                <w:szCs w:val="22"/>
              </w:rPr>
              <w:t>: Using interactive visualisation tools to understand multi-hazard exposure and vulnerability</w:t>
            </w:r>
          </w:p>
          <w:p w14:paraId="2587DDF2" w14:textId="77777777" w:rsidR="00192A5E" w:rsidRDefault="00F92328">
            <w:pPr>
              <w:numPr>
                <w:ilvl w:val="0"/>
                <w:numId w:val="3"/>
              </w:numPr>
              <w:jc w:val="both"/>
              <w:rPr>
                <w:rFonts w:ascii="Arial" w:eastAsia="Arial" w:hAnsi="Arial" w:cs="Arial"/>
                <w:sz w:val="22"/>
                <w:szCs w:val="22"/>
              </w:rPr>
            </w:pPr>
            <w:r>
              <w:rPr>
                <w:rFonts w:ascii="Arial" w:eastAsia="Arial" w:hAnsi="Arial" w:cs="Arial"/>
                <w:b/>
                <w:sz w:val="22"/>
                <w:szCs w:val="22"/>
              </w:rPr>
              <w:t>Adaptation Prioritisation</w:t>
            </w:r>
            <w:r>
              <w:rPr>
                <w:rFonts w:ascii="Arial" w:eastAsia="Arial" w:hAnsi="Arial" w:cs="Arial"/>
                <w:sz w:val="22"/>
                <w:szCs w:val="22"/>
              </w:rPr>
              <w:t>: Applying multi-criteria analysis to identify priority adaptation locations</w:t>
            </w:r>
          </w:p>
          <w:p w14:paraId="685A457C" w14:textId="77777777" w:rsidR="00192A5E" w:rsidRDefault="00F92328">
            <w:pPr>
              <w:numPr>
                <w:ilvl w:val="0"/>
                <w:numId w:val="3"/>
              </w:numPr>
              <w:jc w:val="both"/>
              <w:rPr>
                <w:rFonts w:ascii="Arial" w:eastAsia="Arial" w:hAnsi="Arial" w:cs="Arial"/>
                <w:sz w:val="22"/>
                <w:szCs w:val="22"/>
              </w:rPr>
            </w:pPr>
            <w:r>
              <w:rPr>
                <w:rFonts w:ascii="Arial" w:eastAsia="Arial" w:hAnsi="Arial" w:cs="Arial"/>
                <w:b/>
                <w:sz w:val="22"/>
                <w:szCs w:val="22"/>
              </w:rPr>
              <w:t>Pathway Development</w:t>
            </w:r>
            <w:r>
              <w:rPr>
                <w:rFonts w:ascii="Arial" w:eastAsia="Arial" w:hAnsi="Arial" w:cs="Arial"/>
                <w:sz w:val="22"/>
                <w:szCs w:val="22"/>
              </w:rPr>
              <w:t>: Identifying signals, triggers and thresholds using scenario modeling</w:t>
            </w:r>
          </w:p>
          <w:p w14:paraId="6A288534" w14:textId="77777777" w:rsidR="00192A5E" w:rsidRDefault="00F92328">
            <w:pPr>
              <w:numPr>
                <w:ilvl w:val="0"/>
                <w:numId w:val="3"/>
              </w:numPr>
              <w:jc w:val="both"/>
              <w:rPr>
                <w:rFonts w:ascii="Arial" w:eastAsia="Arial" w:hAnsi="Arial" w:cs="Arial"/>
                <w:sz w:val="22"/>
                <w:szCs w:val="22"/>
              </w:rPr>
            </w:pPr>
            <w:r>
              <w:rPr>
                <w:rFonts w:ascii="Arial" w:eastAsia="Arial" w:hAnsi="Arial" w:cs="Arial"/>
                <w:b/>
                <w:sz w:val="22"/>
                <w:szCs w:val="22"/>
              </w:rPr>
              <w:t>Community Engagement</w:t>
            </w:r>
            <w:r>
              <w:rPr>
                <w:rFonts w:ascii="Arial" w:eastAsia="Arial" w:hAnsi="Arial" w:cs="Arial"/>
                <w:sz w:val="22"/>
                <w:szCs w:val="22"/>
              </w:rPr>
              <w:t>: Exploring effective methods for communicating complex risk information</w:t>
            </w:r>
          </w:p>
          <w:p w14:paraId="2F8B0FF5" w14:textId="77777777" w:rsidR="00192A5E" w:rsidRDefault="00192A5E">
            <w:pPr>
              <w:jc w:val="both"/>
              <w:rPr>
                <w:rFonts w:ascii="Arial" w:eastAsia="Arial" w:hAnsi="Arial" w:cs="Arial"/>
                <w:sz w:val="22"/>
                <w:szCs w:val="22"/>
              </w:rPr>
            </w:pPr>
          </w:p>
          <w:p w14:paraId="04EFEB58" w14:textId="77777777" w:rsidR="00192A5E" w:rsidRDefault="00F92328">
            <w:pPr>
              <w:jc w:val="both"/>
              <w:rPr>
                <w:rFonts w:ascii="Arial" w:eastAsia="Arial" w:hAnsi="Arial" w:cs="Arial"/>
                <w:sz w:val="22"/>
                <w:szCs w:val="22"/>
              </w:rPr>
            </w:pPr>
            <w:r>
              <w:rPr>
                <w:rFonts w:ascii="Arial" w:eastAsia="Arial" w:hAnsi="Arial" w:cs="Arial"/>
                <w:sz w:val="22"/>
                <w:szCs w:val="22"/>
              </w:rPr>
              <w:t>Each station will be facilitated by practitioners from Urban Intelligence and Christchurch City Council, combining technical expertise with real-world implementation experience. Participants will contribute their own challenges and insights, building a collective understanding of how digital tools can enhance adaptation planning.</w:t>
            </w:r>
          </w:p>
          <w:p w14:paraId="0324516F" w14:textId="77777777" w:rsidR="00192A5E" w:rsidRDefault="00192A5E">
            <w:pPr>
              <w:jc w:val="both"/>
              <w:rPr>
                <w:rFonts w:ascii="Arial" w:eastAsia="Arial" w:hAnsi="Arial" w:cs="Arial"/>
                <w:sz w:val="22"/>
                <w:szCs w:val="22"/>
              </w:rPr>
            </w:pPr>
          </w:p>
          <w:p w14:paraId="2354C739" w14:textId="77777777" w:rsidR="00192A5E" w:rsidRDefault="00F92328">
            <w:pPr>
              <w:jc w:val="both"/>
              <w:rPr>
                <w:rFonts w:ascii="Arial" w:eastAsia="Arial" w:hAnsi="Arial" w:cs="Arial"/>
                <w:sz w:val="22"/>
                <w:szCs w:val="22"/>
              </w:rPr>
            </w:pPr>
            <w:r>
              <w:rPr>
                <w:rFonts w:ascii="Arial" w:eastAsia="Arial" w:hAnsi="Arial" w:cs="Arial"/>
                <w:sz w:val="22"/>
                <w:szCs w:val="22"/>
              </w:rPr>
              <w:t xml:space="preserve">The session will conclude with a facilitated discussion on key challenges, opportunities, and ethical considerations in </w:t>
            </w:r>
            <w:proofErr w:type="gramStart"/>
            <w:r>
              <w:rPr>
                <w:rFonts w:ascii="Arial" w:eastAsia="Arial" w:hAnsi="Arial" w:cs="Arial"/>
                <w:sz w:val="22"/>
                <w:szCs w:val="22"/>
              </w:rPr>
              <w:t>digitally-enabled</w:t>
            </w:r>
            <w:proofErr w:type="gramEnd"/>
            <w:r>
              <w:rPr>
                <w:rFonts w:ascii="Arial" w:eastAsia="Arial" w:hAnsi="Arial" w:cs="Arial"/>
                <w:sz w:val="22"/>
                <w:szCs w:val="22"/>
              </w:rPr>
              <w:t xml:space="preserve"> adaptation planning. We'll capture insights on how software platforms can best support equitable, evidence-based adaptation planning across diverse contexts, and identify critical research and development needs to enhance these tools' effectiveness.</w:t>
            </w:r>
          </w:p>
          <w:p w14:paraId="066B9C85" w14:textId="77777777" w:rsidR="00192A5E" w:rsidRDefault="00192A5E">
            <w:pPr>
              <w:jc w:val="both"/>
              <w:rPr>
                <w:rFonts w:ascii="Arial" w:eastAsia="Arial" w:hAnsi="Arial" w:cs="Arial"/>
                <w:sz w:val="22"/>
                <w:szCs w:val="22"/>
              </w:rPr>
            </w:pPr>
          </w:p>
          <w:p w14:paraId="69605761" w14:textId="77777777" w:rsidR="00192A5E" w:rsidRDefault="00F92328">
            <w:pPr>
              <w:jc w:val="both"/>
              <w:rPr>
                <w:rFonts w:ascii="Arial" w:eastAsia="Arial" w:hAnsi="Arial" w:cs="Arial"/>
                <w:sz w:val="22"/>
                <w:szCs w:val="22"/>
              </w:rPr>
            </w:pPr>
            <w:r>
              <w:rPr>
                <w:rFonts w:ascii="Arial" w:eastAsia="Arial" w:hAnsi="Arial" w:cs="Arial"/>
                <w:sz w:val="22"/>
                <w:szCs w:val="22"/>
              </w:rPr>
              <w:lastRenderedPageBreak/>
              <w:t>This session will be valuable for adaptation practitioners, local government officials, community engagement specialists, and researchers interested in the intersection of digital technology and climate adaptation. By bringing together diverse perspectives, we aim to create a rich exchange of ideas that informs both the further development of digital tools and their effective implementation in adaptation processes worldwide.</w:t>
            </w:r>
          </w:p>
          <w:p w14:paraId="508A7244" w14:textId="77777777" w:rsidR="00192A5E" w:rsidRDefault="00192A5E">
            <w:pPr>
              <w:jc w:val="both"/>
              <w:rPr>
                <w:rFonts w:ascii="Arial" w:eastAsia="Arial" w:hAnsi="Arial" w:cs="Arial"/>
                <w:b/>
                <w:sz w:val="22"/>
                <w:szCs w:val="22"/>
              </w:rPr>
            </w:pPr>
          </w:p>
        </w:tc>
      </w:tr>
      <w:tr w:rsidR="00192A5E" w14:paraId="5EAA076B" w14:textId="77777777">
        <w:trPr>
          <w:trHeight w:val="576"/>
        </w:trPr>
        <w:tc>
          <w:tcPr>
            <w:tcW w:w="8640" w:type="dxa"/>
          </w:tcPr>
          <w:p w14:paraId="5E8C2DA8" w14:textId="77777777" w:rsidR="00192A5E" w:rsidRDefault="00F92328">
            <w:pPr>
              <w:jc w:val="both"/>
              <w:rPr>
                <w:rFonts w:ascii="Arial" w:eastAsia="Arial" w:hAnsi="Arial" w:cs="Arial"/>
                <w:b/>
                <w:sz w:val="22"/>
                <w:szCs w:val="22"/>
              </w:rPr>
            </w:pPr>
            <w:r>
              <w:rPr>
                <w:rFonts w:ascii="Arial" w:eastAsia="Arial" w:hAnsi="Arial" w:cs="Arial"/>
                <w:b/>
                <w:sz w:val="22"/>
                <w:szCs w:val="22"/>
              </w:rPr>
              <w:lastRenderedPageBreak/>
              <w:t>PARTICIPANTS</w:t>
            </w:r>
          </w:p>
          <w:p w14:paraId="42C081F6" w14:textId="77777777" w:rsidR="00192A5E" w:rsidRDefault="00192A5E">
            <w:pPr>
              <w:jc w:val="both"/>
              <w:rPr>
                <w:rFonts w:ascii="Arial" w:eastAsia="Arial" w:hAnsi="Arial" w:cs="Arial"/>
                <w:b/>
                <w:sz w:val="22"/>
                <w:szCs w:val="22"/>
              </w:rPr>
            </w:pPr>
          </w:p>
          <w:p w14:paraId="6E46A4D6" w14:textId="77777777" w:rsidR="00192A5E" w:rsidRDefault="00F92328">
            <w:pPr>
              <w:jc w:val="both"/>
              <w:rPr>
                <w:rFonts w:ascii="Arial" w:eastAsia="Arial" w:hAnsi="Arial" w:cs="Arial"/>
                <w:b/>
                <w:sz w:val="22"/>
                <w:szCs w:val="22"/>
                <w:u w:val="single"/>
              </w:rPr>
            </w:pPr>
            <w:r>
              <w:rPr>
                <w:rFonts w:ascii="Arial" w:eastAsia="Arial" w:hAnsi="Arial" w:cs="Arial"/>
                <w:b/>
                <w:sz w:val="22"/>
                <w:szCs w:val="22"/>
                <w:u w:val="single"/>
              </w:rPr>
              <w:t>Participant 1</w:t>
            </w:r>
          </w:p>
          <w:p w14:paraId="272EAA38" w14:textId="77777777" w:rsidR="00192A5E" w:rsidRDefault="00F92328">
            <w:pPr>
              <w:jc w:val="both"/>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Dr. Tom Logan</w:t>
            </w:r>
          </w:p>
          <w:p w14:paraId="4444DF37" w14:textId="77777777" w:rsidR="00192A5E" w:rsidRDefault="00F92328">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Urban Intelligence, University of Canterbury</w:t>
            </w:r>
          </w:p>
          <w:p w14:paraId="213415A7" w14:textId="2E82D8FB" w:rsidR="00192A5E" w:rsidRDefault="00F92328">
            <w:pPr>
              <w:jc w:val="both"/>
              <w:rPr>
                <w:rFonts w:ascii="Arial" w:eastAsia="Arial" w:hAnsi="Arial" w:cs="Arial"/>
                <w:b/>
                <w:sz w:val="22"/>
                <w:szCs w:val="22"/>
              </w:rPr>
            </w:pPr>
            <w:r>
              <w:rPr>
                <w:rFonts w:ascii="Arial" w:eastAsia="Arial" w:hAnsi="Arial" w:cs="Arial"/>
                <w:b/>
                <w:sz w:val="22"/>
                <w:szCs w:val="22"/>
              </w:rPr>
              <w:t>Bio</w:t>
            </w:r>
            <w:r w:rsidR="00C431F0">
              <w:rPr>
                <w:rFonts w:ascii="Arial" w:eastAsia="Arial" w:hAnsi="Arial" w:cs="Arial"/>
                <w:b/>
                <w:sz w:val="22"/>
                <w:szCs w:val="22"/>
              </w:rPr>
              <w:t>:</w:t>
            </w:r>
          </w:p>
          <w:p w14:paraId="662F64E2" w14:textId="77777777" w:rsidR="00192A5E" w:rsidRDefault="00F92328">
            <w:pPr>
              <w:jc w:val="both"/>
              <w:rPr>
                <w:rFonts w:ascii="Arial" w:eastAsia="Arial" w:hAnsi="Arial" w:cs="Arial"/>
                <w:sz w:val="22"/>
                <w:szCs w:val="22"/>
              </w:rPr>
            </w:pPr>
            <w:r>
              <w:rPr>
                <w:rFonts w:ascii="Arial" w:eastAsia="Arial" w:hAnsi="Arial" w:cs="Arial"/>
                <w:sz w:val="22"/>
                <w:szCs w:val="22"/>
              </w:rPr>
              <w:t>Dr. Logan is a Rutherford Discovery Fellow, Senior Lecturer Above the Bar at University of Canterbury, New Zealand, and Technical Director at Urban Intelligence. His research focuses on climate risk assessment and adaptation planning, with expertise in developing digital tools that support evidence-based decision-making.</w:t>
            </w:r>
          </w:p>
          <w:p w14:paraId="433E1B4D" w14:textId="77777777" w:rsidR="00192A5E" w:rsidRDefault="00192A5E">
            <w:pPr>
              <w:jc w:val="both"/>
              <w:rPr>
                <w:rFonts w:ascii="Arial" w:eastAsia="Arial" w:hAnsi="Arial" w:cs="Arial"/>
                <w:sz w:val="22"/>
                <w:szCs w:val="22"/>
              </w:rPr>
            </w:pPr>
          </w:p>
          <w:p w14:paraId="6776F8DF" w14:textId="00973CD5" w:rsidR="00192A5E" w:rsidRPr="00C431F0" w:rsidRDefault="00F92328">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5A367C18" w14:textId="77777777" w:rsidR="00192A5E" w:rsidRDefault="00F92328">
            <w:pPr>
              <w:jc w:val="both"/>
              <w:rPr>
                <w:rFonts w:ascii="Arial" w:eastAsia="Arial" w:hAnsi="Arial" w:cs="Arial"/>
                <w:sz w:val="22"/>
                <w:szCs w:val="22"/>
              </w:rPr>
            </w:pPr>
            <w:r>
              <w:rPr>
                <w:rFonts w:ascii="Arial" w:eastAsia="Arial" w:hAnsi="Arial" w:cs="Arial"/>
                <w:sz w:val="22"/>
                <w:szCs w:val="22"/>
              </w:rPr>
              <w:t>Dr. Logan will introduce the session and provide context on the challenges of climate adaptation planning at scale. He will demonstrate how the Resilience Explorer platform was developed to address these challenges, highlighting its technical foundations and integration of risk science principles. Drawing on his experience working with communities and organisations across New Zealand, Dr. Logan will facilitate the risk assessment station, guiding participants through interactive exercises demonstrating how digital visualisation tools can enhance understanding of complex, multi-hazard risk information. He will also share lessons learned from implementing digital tools in diverse contexts, addressing both technical and social considerations.</w:t>
            </w:r>
          </w:p>
          <w:p w14:paraId="7668E271" w14:textId="77777777" w:rsidR="00192A5E" w:rsidRDefault="00192A5E">
            <w:pPr>
              <w:jc w:val="both"/>
              <w:rPr>
                <w:rFonts w:ascii="Arial" w:eastAsia="Arial" w:hAnsi="Arial" w:cs="Arial"/>
                <w:b/>
                <w:sz w:val="22"/>
                <w:szCs w:val="22"/>
              </w:rPr>
            </w:pPr>
          </w:p>
          <w:p w14:paraId="30C40090" w14:textId="77777777" w:rsidR="00192A5E" w:rsidRDefault="00F92328">
            <w:pPr>
              <w:jc w:val="both"/>
              <w:rPr>
                <w:rFonts w:ascii="Arial" w:eastAsia="Arial" w:hAnsi="Arial" w:cs="Arial"/>
                <w:b/>
                <w:sz w:val="22"/>
                <w:szCs w:val="22"/>
                <w:u w:val="single"/>
              </w:rPr>
            </w:pPr>
            <w:r>
              <w:rPr>
                <w:rFonts w:ascii="Arial" w:eastAsia="Arial" w:hAnsi="Arial" w:cs="Arial"/>
                <w:b/>
                <w:sz w:val="22"/>
                <w:szCs w:val="22"/>
                <w:u w:val="single"/>
              </w:rPr>
              <w:t>Participant 2</w:t>
            </w:r>
          </w:p>
          <w:p w14:paraId="6A56635C" w14:textId="77777777" w:rsidR="00192A5E" w:rsidRDefault="00F92328">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Ruby Clark</w:t>
            </w:r>
          </w:p>
          <w:p w14:paraId="0F2EB277" w14:textId="77777777" w:rsidR="00192A5E" w:rsidRDefault="00F92328">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Christchurch City Council</w:t>
            </w:r>
          </w:p>
          <w:p w14:paraId="0D81443E" w14:textId="0065BA35" w:rsidR="00192A5E" w:rsidRDefault="00F92328">
            <w:pPr>
              <w:jc w:val="both"/>
              <w:rPr>
                <w:rFonts w:ascii="Arial" w:eastAsia="Arial" w:hAnsi="Arial" w:cs="Arial"/>
                <w:b/>
                <w:sz w:val="22"/>
                <w:szCs w:val="22"/>
              </w:rPr>
            </w:pPr>
            <w:r>
              <w:rPr>
                <w:rFonts w:ascii="Arial" w:eastAsia="Arial" w:hAnsi="Arial" w:cs="Arial"/>
                <w:b/>
                <w:sz w:val="22"/>
                <w:szCs w:val="22"/>
              </w:rPr>
              <w:t>Bio</w:t>
            </w:r>
            <w:r w:rsidR="00C431F0">
              <w:rPr>
                <w:rFonts w:ascii="Arial" w:eastAsia="Arial" w:hAnsi="Arial" w:cs="Arial"/>
                <w:b/>
                <w:sz w:val="22"/>
                <w:szCs w:val="22"/>
              </w:rPr>
              <w:t>:</w:t>
            </w:r>
          </w:p>
          <w:p w14:paraId="3323BD2A" w14:textId="77777777" w:rsidR="00192A5E" w:rsidRDefault="00F92328">
            <w:pPr>
              <w:jc w:val="both"/>
              <w:rPr>
                <w:rFonts w:ascii="Arial" w:eastAsia="Arial" w:hAnsi="Arial" w:cs="Arial"/>
                <w:sz w:val="22"/>
                <w:szCs w:val="22"/>
              </w:rPr>
            </w:pPr>
            <w:r>
              <w:rPr>
                <w:rFonts w:ascii="Arial" w:eastAsia="Arial" w:hAnsi="Arial" w:cs="Arial"/>
                <w:sz w:val="22"/>
                <w:szCs w:val="22"/>
              </w:rPr>
              <w:t>Ruby is a senior climate adaptation specialist at Christchurch City Council, New Zealand, leading the implementation of adaptation planning processes across coastal communities. She specialises in community engagement and translating technical risk information into actionable adaptation pathways.</w:t>
            </w:r>
          </w:p>
          <w:p w14:paraId="7D1CC866" w14:textId="77777777" w:rsidR="00192A5E" w:rsidRDefault="00192A5E">
            <w:pPr>
              <w:jc w:val="both"/>
              <w:rPr>
                <w:rFonts w:ascii="Arial" w:eastAsia="Arial" w:hAnsi="Arial" w:cs="Arial"/>
                <w:sz w:val="22"/>
                <w:szCs w:val="22"/>
              </w:rPr>
            </w:pPr>
          </w:p>
          <w:p w14:paraId="5440F095" w14:textId="77777777" w:rsidR="00192A5E" w:rsidRDefault="00F92328">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683183D8" w14:textId="77777777" w:rsidR="00192A5E" w:rsidRDefault="00F92328">
            <w:pPr>
              <w:jc w:val="both"/>
              <w:rPr>
                <w:rFonts w:ascii="Arial" w:eastAsia="Arial" w:hAnsi="Arial" w:cs="Arial"/>
                <w:sz w:val="22"/>
                <w:szCs w:val="22"/>
              </w:rPr>
            </w:pPr>
            <w:r>
              <w:rPr>
                <w:rFonts w:ascii="Arial" w:eastAsia="Arial" w:hAnsi="Arial" w:cs="Arial"/>
                <w:sz w:val="22"/>
                <w:szCs w:val="22"/>
              </w:rPr>
              <w:t>Ruby will present Christchurch City Council's experience implementing a digital-enhanced adaptation planning process. She will share practical insights on how the Resilience Explorer platform has been integrated into the council's workflow, highlighting its application in identifying priority adaptation locations, supporting community panel deliberations, and developing evidence-based adaptation pathways. Ruby will facilitate the community engagement station, demonstrating techniques for using digital tools to communicate complex risk information effectively with diverse stakeholders. She will provide real-world examples of how digital visualisation tools have enhanced community understanding and participation in adaptation planning processes.</w:t>
            </w:r>
          </w:p>
          <w:p w14:paraId="2E67C980" w14:textId="77777777" w:rsidR="00192A5E" w:rsidRDefault="00192A5E" w:rsidP="004F5DD5">
            <w:pPr>
              <w:pBdr>
                <w:top w:val="nil"/>
                <w:left w:val="nil"/>
                <w:bottom w:val="nil"/>
                <w:right w:val="nil"/>
                <w:between w:val="nil"/>
              </w:pBdr>
              <w:spacing w:after="160" w:line="259" w:lineRule="auto"/>
              <w:jc w:val="both"/>
              <w:rPr>
                <w:rFonts w:ascii="Arial" w:eastAsia="Arial" w:hAnsi="Arial" w:cs="Arial"/>
                <w:b/>
                <w:sz w:val="22"/>
                <w:szCs w:val="22"/>
              </w:rPr>
            </w:pPr>
          </w:p>
        </w:tc>
      </w:tr>
    </w:tbl>
    <w:p w14:paraId="546093D2" w14:textId="77777777" w:rsidR="00192A5E" w:rsidRDefault="00192A5E"/>
    <w:sectPr w:rsidR="00192A5E">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62671"/>
    <w:multiLevelType w:val="multilevel"/>
    <w:tmpl w:val="1188FA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26855B1"/>
    <w:multiLevelType w:val="multilevel"/>
    <w:tmpl w:val="49F81F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B024CB"/>
    <w:multiLevelType w:val="multilevel"/>
    <w:tmpl w:val="625E4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10340583">
    <w:abstractNumId w:val="1"/>
  </w:num>
  <w:num w:numId="2" w16cid:durableId="1072970464">
    <w:abstractNumId w:val="2"/>
  </w:num>
  <w:num w:numId="3" w16cid:durableId="155793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5E"/>
    <w:rsid w:val="00192A5E"/>
    <w:rsid w:val="00244819"/>
    <w:rsid w:val="002949A5"/>
    <w:rsid w:val="004F5DD5"/>
    <w:rsid w:val="00C431F0"/>
    <w:rsid w:val="00F923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BD93"/>
  <w15:docId w15:val="{B64B1F2B-9780-47B5-A61B-381F144E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val="en-CA"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val="en-CA" w:eastAsia="zh-TW"/>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MuCHFgkGwTJtVFxb/kf9vCfxg==">CgMxLjA4AHIhMTRZcmNZelpjR3dqbUIwVFN2RWZHa1BMUFNLYjNCN2J3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A60942-4E4F-45BC-B156-477838CC3F17}"/>
</file>

<file path=customXml/itemProps3.xml><?xml version="1.0" encoding="utf-8"?>
<ds:datastoreItem xmlns:ds="http://schemas.openxmlformats.org/officeDocument/2006/customXml" ds:itemID="{AEC44D7C-1426-4DEB-A3F0-F081FDE97FDA}"/>
</file>

<file path=customXml/itemProps4.xml><?xml version="1.0" encoding="utf-8"?>
<ds:datastoreItem xmlns:ds="http://schemas.openxmlformats.org/officeDocument/2006/customXml" ds:itemID="{42FA7FDA-0992-4696-B783-6618E12642BC}"/>
</file>

<file path=docProps/app.xml><?xml version="1.0" encoding="utf-8"?>
<Properties xmlns="http://schemas.openxmlformats.org/officeDocument/2006/extended-properties" xmlns:vt="http://schemas.openxmlformats.org/officeDocument/2006/docPropsVTypes">
  <Template>Normal.dotm</Template>
  <TotalTime>7</TotalTime>
  <Pages>2</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5</cp:revision>
  <dcterms:created xsi:type="dcterms:W3CDTF">2025-03-01T01:34:00Z</dcterms:created>
  <dcterms:modified xsi:type="dcterms:W3CDTF">2025-08-11T20:10:00Z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