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8"/>
      </w:tblGrid>
      <w:tr w:rsidR="001564A4" w:rsidRPr="0050053A" w14:paraId="5C38377B" w14:textId="77777777" w:rsidTr="0065096F">
        <w:trPr>
          <w:trHeight w:val="1039"/>
          <w:jc w:val="center"/>
        </w:trPr>
        <w:tc>
          <w:tcPr>
            <w:tcW w:w="8758" w:type="dxa"/>
            <w:shd w:val="clear" w:color="auto" w:fill="auto"/>
          </w:tcPr>
          <w:p w14:paraId="5C44F357" w14:textId="3E5E5242" w:rsidR="001564A4" w:rsidRPr="0050053A" w:rsidRDefault="005F0428" w:rsidP="005F0428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</w:t>
            </w:r>
            <w:r w:rsidRPr="005F042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ffect of nebuli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</w:t>
            </w:r>
            <w:r w:rsidRPr="005F042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ed BromAc®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, a potent mucolytic,</w:t>
            </w:r>
            <w:r w:rsidRPr="005F042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D656E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</w:t>
            </w:r>
            <w:r w:rsidRPr="005F042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n a mechanically ventilated ex-vivo muco-obstructive ovine lung model.</w:t>
            </w:r>
          </w:p>
        </w:tc>
      </w:tr>
      <w:tr w:rsidR="001564A4" w:rsidRPr="0050053A" w14:paraId="0E2E035C" w14:textId="77777777" w:rsidTr="0065096F">
        <w:trPr>
          <w:trHeight w:val="1026"/>
          <w:jc w:val="center"/>
        </w:trPr>
        <w:tc>
          <w:tcPr>
            <w:tcW w:w="8758" w:type="dxa"/>
            <w:shd w:val="clear" w:color="auto" w:fill="auto"/>
          </w:tcPr>
          <w:p w14:paraId="73B55295" w14:textId="3F71F90E" w:rsidR="001564A4" w:rsidRPr="00413B94" w:rsidRDefault="005F0428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5F0428">
              <w:rPr>
                <w:rFonts w:ascii="Arial" w:hAnsi="Arial" w:cs="Arial"/>
                <w:sz w:val="22"/>
                <w:szCs w:val="22"/>
                <w:lang w:val="en-US" w:eastAsia="en-GB"/>
              </w:rPr>
              <w:t>Mathew Suji Eapen</w:t>
            </w:r>
            <w:r w:rsidRPr="005F042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,4</w:t>
            </w:r>
            <w:r w:rsidRPr="005F0428">
              <w:rPr>
                <w:rFonts w:ascii="Arial" w:hAnsi="Arial" w:cs="Arial"/>
                <w:sz w:val="22"/>
                <w:szCs w:val="22"/>
                <w:lang w:val="en-US" w:eastAsia="en-GB"/>
              </w:rPr>
              <w:t>, Nicole Valle</w:t>
            </w:r>
            <w:r w:rsidRPr="005F042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,4</w:t>
            </w:r>
            <w:r w:rsidRPr="005F0428">
              <w:rPr>
                <w:rFonts w:ascii="Arial" w:hAnsi="Arial" w:cs="Arial"/>
                <w:sz w:val="22"/>
                <w:szCs w:val="22"/>
                <w:lang w:val="en-US" w:eastAsia="en-GB"/>
              </w:rPr>
              <w:t>, Krishna Pillai</w:t>
            </w:r>
            <w:r w:rsidRPr="005F042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,4</w:t>
            </w:r>
            <w:r w:rsidRPr="005F0428">
              <w:rPr>
                <w:rFonts w:ascii="Arial" w:hAnsi="Arial" w:cs="Arial"/>
                <w:sz w:val="22"/>
                <w:szCs w:val="22"/>
                <w:lang w:val="en-US" w:eastAsia="en-GB"/>
              </w:rPr>
              <w:t>, Richard Morris</w:t>
            </w:r>
            <w:r w:rsidRPr="005F042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5F0428">
              <w:rPr>
                <w:rFonts w:ascii="Arial" w:hAnsi="Arial" w:cs="Arial"/>
                <w:sz w:val="22"/>
                <w:szCs w:val="22"/>
                <w:lang w:val="en-US" w:eastAsia="en-GB"/>
              </w:rPr>
              <w:t>, Javed Akhter</w:t>
            </w:r>
            <w:r w:rsidRPr="005F042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 xml:space="preserve">1,4, </w:t>
            </w:r>
            <w:r w:rsidRPr="005F0428">
              <w:rPr>
                <w:rFonts w:ascii="Arial" w:hAnsi="Arial" w:cs="Arial"/>
                <w:sz w:val="22"/>
                <w:szCs w:val="22"/>
                <w:lang w:val="en-US" w:eastAsia="en-GB"/>
              </w:rPr>
              <w:t>Ahmed H Mekkawy</w:t>
            </w:r>
            <w:r w:rsidRPr="005F042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1,4</w:t>
            </w:r>
            <w:r w:rsidRPr="005F0428">
              <w:rPr>
                <w:rFonts w:ascii="Arial" w:hAnsi="Arial" w:cs="Arial"/>
                <w:sz w:val="22"/>
                <w:szCs w:val="22"/>
                <w:lang w:val="en-US" w:eastAsia="en-GB"/>
              </w:rPr>
              <w:t>, David L Morris</w:t>
            </w:r>
            <w:r w:rsidRPr="005F042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1,3,4</w:t>
            </w:r>
            <w:r w:rsidRPr="005F0428">
              <w:rPr>
                <w:rFonts w:ascii="Arial" w:hAnsi="Arial" w:cs="Arial"/>
                <w:sz w:val="22"/>
                <w:szCs w:val="22"/>
                <w:lang w:val="en-US" w:eastAsia="en-GB"/>
              </w:rPr>
              <w:t>, Sarah J Valle</w:t>
            </w:r>
            <w:r w:rsidRPr="005F042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1,4,5</w:t>
            </w:r>
          </w:p>
        </w:tc>
      </w:tr>
      <w:tr w:rsidR="001564A4" w:rsidRPr="0050053A" w14:paraId="385A19D9" w14:textId="77777777" w:rsidTr="0065096F">
        <w:trPr>
          <w:trHeight w:val="186"/>
          <w:jc w:val="center"/>
        </w:trPr>
        <w:tc>
          <w:tcPr>
            <w:tcW w:w="8758" w:type="dxa"/>
            <w:shd w:val="clear" w:color="auto" w:fill="auto"/>
          </w:tcPr>
          <w:p w14:paraId="647A6E35" w14:textId="37068DC2" w:rsidR="005F0428" w:rsidRPr="005F0428" w:rsidRDefault="005F0428" w:rsidP="005F0428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</w:pPr>
            <w:r w:rsidRPr="005F0428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5F0428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Mucpharm Pty Ltd, Sydney, Australia</w:t>
            </w:r>
          </w:p>
          <w:p w14:paraId="47E2D506" w14:textId="3B94F6AA" w:rsidR="005F0428" w:rsidRPr="005F0428" w:rsidRDefault="005F0428" w:rsidP="005F0428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5F0428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Intensive Care Unit, Shoalhaven District Memorial Hospital, Nowra, Australia</w:t>
            </w:r>
          </w:p>
          <w:p w14:paraId="641324FD" w14:textId="7193A7AB" w:rsidR="005F0428" w:rsidRPr="005F0428" w:rsidRDefault="005F0428" w:rsidP="005F0428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5F0428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 xml:space="preserve">Department of Surgery, St George Hospital, Sydney, Australia </w:t>
            </w:r>
          </w:p>
          <w:p w14:paraId="4D7EE7A2" w14:textId="12416141" w:rsidR="005F0428" w:rsidRPr="005F0428" w:rsidRDefault="005F0428" w:rsidP="005F0428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5F0428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 xml:space="preserve">University of New South Wales, St George and Sutherland Clinical School of Medicine, Sydney, Australia </w:t>
            </w:r>
          </w:p>
          <w:p w14:paraId="18891702" w14:textId="066EB1A6" w:rsidR="005F0428" w:rsidRPr="005F0428" w:rsidRDefault="005F0428" w:rsidP="005F0428">
            <w:pPr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5F0428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 xml:space="preserve">Intensive Care Unit, St George Hospital, Sydney Australia </w:t>
            </w:r>
          </w:p>
          <w:p w14:paraId="45ED36BF" w14:textId="2ED618BC" w:rsidR="001564A4" w:rsidRPr="0050053A" w:rsidRDefault="001564A4" w:rsidP="005F0428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</w:p>
        </w:tc>
      </w:tr>
      <w:tr w:rsidR="001564A4" w:rsidRPr="0050053A" w14:paraId="6DAF615A" w14:textId="77777777" w:rsidTr="00BA5C4F">
        <w:trPr>
          <w:trHeight w:hRule="exact" w:val="8578"/>
          <w:jc w:val="center"/>
        </w:trPr>
        <w:tc>
          <w:tcPr>
            <w:tcW w:w="8758" w:type="dxa"/>
            <w:shd w:val="clear" w:color="auto" w:fill="auto"/>
          </w:tcPr>
          <w:p w14:paraId="14BEE81F" w14:textId="4FEC1C40" w:rsidR="005F0428" w:rsidRPr="005F0428" w:rsidRDefault="005F0428" w:rsidP="005F042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Introduction</w:t>
            </w:r>
            <w:r w:rsidRPr="005F042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- Mucus plugging of the respiratory tract occurs in airway diseases, including asthma, chronic obstructive pulmonary </w:t>
            </w:r>
            <w:proofErr w:type="gramStart"/>
            <w:r w:rsidRPr="005F0428">
              <w:rPr>
                <w:rFonts w:ascii="Arial" w:hAnsi="Arial" w:cs="Arial"/>
                <w:sz w:val="22"/>
                <w:szCs w:val="22"/>
                <w:lang w:val="en-US" w:eastAsia="en-GB"/>
              </w:rPr>
              <w:t>disease</w:t>
            </w:r>
            <w:proofErr w:type="gramEnd"/>
            <w:r w:rsidRPr="005F042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and cystic fibrosis. It can cause partial or complete blockage of airways, leading to breathlessness and respiratory failure. Here, we demonstrate the mucolytic effect of BromAc® in dissolving mucus simulant in an ex-vivo ovine </w:t>
            </w:r>
            <w:r w:rsidR="00D656E3">
              <w:rPr>
                <w:rFonts w:ascii="Arial" w:hAnsi="Arial" w:cs="Arial"/>
                <w:sz w:val="22"/>
                <w:szCs w:val="22"/>
                <w:lang w:val="en-US" w:eastAsia="en-GB"/>
              </w:rPr>
              <w:t>muco-obstructive</w:t>
            </w:r>
            <w:r w:rsidRPr="005F042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lung model.</w:t>
            </w:r>
          </w:p>
          <w:p w14:paraId="56C9434C" w14:textId="40975E44" w:rsidR="005F0428" w:rsidRPr="005F0428" w:rsidRDefault="005F0428" w:rsidP="005F042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 w:eastAsia="en-GB"/>
              </w:rPr>
            </w:pPr>
            <w:r w:rsidRPr="005F0428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Method-</w:t>
            </w:r>
            <w:r w:rsidRPr="005F042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65096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A mucus simulant was prepared from soft mucin extracted from Pseudomyxoma peritonei (PMP) during surgical </w:t>
            </w:r>
            <w:r w:rsidR="00D656E3">
              <w:rPr>
                <w:rFonts w:ascii="Arial" w:hAnsi="Arial" w:cs="Arial"/>
                <w:sz w:val="22"/>
                <w:szCs w:val="22"/>
                <w:lang w:val="en-US" w:eastAsia="en-GB"/>
              </w:rPr>
              <w:t>tumor</w:t>
            </w:r>
            <w:r w:rsidR="0065096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resection </w:t>
            </w:r>
            <w:r w:rsidRPr="005F0428">
              <w:rPr>
                <w:rFonts w:ascii="Arial" w:hAnsi="Arial" w:cs="Arial"/>
                <w:sz w:val="22"/>
                <w:szCs w:val="22"/>
                <w:lang w:val="en-US" w:eastAsia="en-GB"/>
              </w:rPr>
              <w:t>was</w:t>
            </w:r>
            <w:r w:rsidR="0065096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mixed with phosphate-buffered saline</w:t>
            </w:r>
            <w:r w:rsidRPr="005F042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65096F">
              <w:rPr>
                <w:rFonts w:ascii="Arial" w:hAnsi="Arial" w:cs="Arial"/>
                <w:sz w:val="22"/>
                <w:szCs w:val="22"/>
                <w:lang w:val="en-US" w:eastAsia="en-GB"/>
              </w:rPr>
              <w:t>(</w:t>
            </w:r>
            <w:r w:rsidR="00D656E3">
              <w:rPr>
                <w:rFonts w:ascii="Arial" w:hAnsi="Arial" w:cs="Arial"/>
                <w:sz w:val="22"/>
                <w:szCs w:val="22"/>
                <w:lang w:val="en-US" w:eastAsia="en-GB"/>
              </w:rPr>
              <w:t>PBS) to</w:t>
            </w:r>
            <w:r w:rsidR="0065096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obtain a viscous consistency seen in cystic fibrosis (Viscosity~20,000 </w:t>
            </w:r>
            <w:proofErr w:type="spellStart"/>
            <w:proofErr w:type="gramStart"/>
            <w:r w:rsidR="0065096F">
              <w:rPr>
                <w:rFonts w:ascii="Arial" w:hAnsi="Arial" w:cs="Arial"/>
                <w:sz w:val="22"/>
                <w:szCs w:val="22"/>
                <w:lang w:val="en-US" w:eastAsia="en-GB"/>
              </w:rPr>
              <w:t>mpa.s</w:t>
            </w:r>
            <w:proofErr w:type="spellEnd"/>
            <w:proofErr w:type="gramEnd"/>
            <w:r w:rsidR="0065096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). The mucus simulant was </w:t>
            </w:r>
            <w:r w:rsidRPr="005F0428">
              <w:rPr>
                <w:rFonts w:ascii="Arial" w:hAnsi="Arial" w:cs="Arial"/>
                <w:sz w:val="22"/>
                <w:szCs w:val="22"/>
                <w:lang w:val="en-US" w:eastAsia="en-GB"/>
              </w:rPr>
              <w:t>filled into the trachea of freshly slaughtered ovine lungs and ventilated via endotracheal tube (ETT) using Continuous Mandatory Ventilation (CMV). Predetermined single or repeated doses of Bromelain, Acetylcysteine (Ac), BromAc®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(Bromelain and Ac formulation)</w:t>
            </w:r>
            <w:r w:rsidRPr="005F042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and saline (control) were administered via an </w:t>
            </w:r>
            <w:proofErr w:type="spellStart"/>
            <w:r w:rsidRPr="005F0428">
              <w:rPr>
                <w:rFonts w:ascii="Arial" w:hAnsi="Arial" w:cs="Arial"/>
                <w:sz w:val="22"/>
                <w:szCs w:val="22"/>
                <w:lang w:val="en-US" w:eastAsia="en-GB"/>
              </w:rPr>
              <w:t>Aerogen</w:t>
            </w:r>
            <w:proofErr w:type="spellEnd"/>
            <w:r w:rsidRPr="005F0428">
              <w:rPr>
                <w:rFonts w:ascii="Arial" w:hAnsi="Arial" w:cs="Arial"/>
                <w:sz w:val="22"/>
                <w:szCs w:val="22"/>
                <w:lang w:val="en-US" w:eastAsia="en-GB"/>
              </w:rPr>
              <w:t>® vibrating nebuliser and ventilated with a humidified circuit for 30 or 60-minute time point. Real-time ventilatory recording, including airway resistance, compliance, tidal volume, and rheology measurements, was carried out.</w:t>
            </w:r>
          </w:p>
          <w:p w14:paraId="443A48A8" w14:textId="77777777" w:rsidR="005F0428" w:rsidRPr="005F0428" w:rsidRDefault="005F0428" w:rsidP="005F042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 w:eastAsia="en-GB"/>
              </w:rPr>
            </w:pPr>
            <w:r w:rsidRPr="005F0428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Result-</w:t>
            </w:r>
            <w:r w:rsidRPr="005F042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 significant decline in airway resistance (p&lt;0.0001) compared to saline control was observed over time when treated with Bromelain, Ac and BromAc®, with the latter showing a stronger mucolytic potency than single agents. The decline in airway resistance was also effective in a shorter time-point and at lower doses of the agents than saline control(p&lt;0.01). Similar effects of BromAc® in maintaining tidal volume were recorded in a sixty-minute time point study. Rheology measurements revealed that BromAc®™ significantly reduced the viscosity of the mucin at both 30-minute and 60-minute time points (p&lt;0.0001) compared to saline control. When single agents and lower concentrations were trialled, the effect on resistance and viscosity was less than the combination. </w:t>
            </w:r>
          </w:p>
          <w:p w14:paraId="6BFB5EA3" w14:textId="77777777" w:rsidR="005F0428" w:rsidRPr="005F0428" w:rsidRDefault="005F0428" w:rsidP="005F042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 w:eastAsia="en-GB"/>
              </w:rPr>
            </w:pPr>
            <w:r w:rsidRPr="005F0428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Conclusion-</w:t>
            </w:r>
            <w:r w:rsidRPr="005F042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BromAc® showed complete dissolution of the respiratory mucus simulant and improved ventilatory airflow parameters in the ex-vivo ovine model. </w:t>
            </w:r>
          </w:p>
          <w:p w14:paraId="3C0D8CE1" w14:textId="77777777" w:rsidR="005F0428" w:rsidRDefault="005F0428" w:rsidP="000A28E2">
            <w:pPr>
              <w:pStyle w:val="Pa12"/>
              <w:rPr>
                <w:rStyle w:val="A4"/>
                <w:b/>
                <w:bCs/>
              </w:rPr>
            </w:pPr>
          </w:p>
          <w:p w14:paraId="3E8B4283" w14:textId="21A9E1BA" w:rsidR="001564A4" w:rsidRPr="0065096F" w:rsidRDefault="001564A4" w:rsidP="000A28E2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65096F">
              <w:rPr>
                <w:rStyle w:val="A4"/>
              </w:rPr>
              <w:t>The s</w:t>
            </w:r>
            <w:r w:rsidR="0065096F" w:rsidRPr="0065096F">
              <w:rPr>
                <w:rStyle w:val="A4"/>
              </w:rPr>
              <w:t xml:space="preserve">tudy </w:t>
            </w:r>
            <w:r w:rsidR="0065096F">
              <w:rPr>
                <w:rStyle w:val="A4"/>
              </w:rPr>
              <w:t xml:space="preserve">is </w:t>
            </w:r>
            <w:r w:rsidR="0065096F" w:rsidRPr="0065096F">
              <w:rPr>
                <w:rStyle w:val="A4"/>
              </w:rPr>
              <w:t>financially supported by Mucpharm Pty Ltd, Kogarah, NSW</w:t>
            </w:r>
            <w:r w:rsidR="0065096F">
              <w:rPr>
                <w:rStyle w:val="A4"/>
              </w:rPr>
              <w:t>,</w:t>
            </w:r>
            <w:r w:rsidR="0065096F" w:rsidRPr="0065096F">
              <w:rPr>
                <w:rStyle w:val="A4"/>
              </w:rPr>
              <w:t xml:space="preserve"> Australia</w:t>
            </w: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82B3E"/>
    <w:multiLevelType w:val="hybridMultilevel"/>
    <w:tmpl w:val="96F842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298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0NjAxMDU0Nza2NDFV0lEKTi0uzszPAykwrAUAz1fx0SwAAAA="/>
  </w:docVars>
  <w:rsids>
    <w:rsidRoot w:val="001564A4"/>
    <w:rsid w:val="00127555"/>
    <w:rsid w:val="001564A4"/>
    <w:rsid w:val="0051574E"/>
    <w:rsid w:val="005F0428"/>
    <w:rsid w:val="0065096F"/>
    <w:rsid w:val="008803FA"/>
    <w:rsid w:val="00B12E32"/>
    <w:rsid w:val="00BA5C4F"/>
    <w:rsid w:val="00D656E3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5F0428"/>
    <w:pPr>
      <w:ind w:left="720"/>
      <w:contextualSpacing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</Words>
  <Characters>2537</Characters>
  <Application>Microsoft Office Word</Application>
  <DocSecurity>0</DocSecurity>
  <Lines>120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Mathew Eapen</cp:lastModifiedBy>
  <cp:revision>3</cp:revision>
  <dcterms:created xsi:type="dcterms:W3CDTF">2023-10-18T22:57:00Z</dcterms:created>
  <dcterms:modified xsi:type="dcterms:W3CDTF">2023-10-18T22:58:00Z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7aae4229d09063c0e5dfa463b02238163af9b03aa26b8ab4533a0109668c574e</vt:lpwstr>
  </property>
</Properties>
</file>