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8864579" w:rsidR="001564A4" w:rsidRPr="0050053A" w:rsidRDefault="003B241F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3B241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Individual </w:t>
            </w:r>
            <w:r w:rsidR="00964B2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</w:t>
            </w:r>
            <w:r w:rsidRPr="003B241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ree </w:t>
            </w:r>
            <w:r w:rsidR="00964B2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b</w:t>
            </w:r>
            <w:r w:rsidRPr="003B241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iomass </w:t>
            </w:r>
            <w:r w:rsidR="00964B2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</w:t>
            </w:r>
            <w:r w:rsidRPr="003B241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stimation of </w:t>
            </w:r>
            <w:r w:rsidR="00964B2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</w:t>
            </w:r>
            <w:r w:rsidRPr="003B241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urable </w:t>
            </w:r>
            <w:r w:rsidR="00964B2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</w:t>
            </w:r>
            <w:r w:rsidRPr="003B241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ucalyptus </w:t>
            </w:r>
            <w:r w:rsidR="00964B2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</w:t>
            </w:r>
            <w:r w:rsidRPr="003B241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sing UAV LiDAR</w:t>
            </w:r>
          </w:p>
        </w:tc>
      </w:tr>
      <w:tr w:rsidR="001564A4" w:rsidRPr="0050053A" w14:paraId="6DAF615A" w14:textId="77777777" w:rsidTr="003B241F">
        <w:trPr>
          <w:trHeight w:hRule="exact" w:val="9572"/>
          <w:jc w:val="center"/>
        </w:trPr>
        <w:tc>
          <w:tcPr>
            <w:tcW w:w="8640" w:type="dxa"/>
            <w:shd w:val="clear" w:color="auto" w:fill="auto"/>
          </w:tcPr>
          <w:p w14:paraId="639C0005" w14:textId="77777777" w:rsidR="001F0AC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739E7937" w14:textId="669B01AC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4C52B1EF" w:rsidR="001564A4" w:rsidRPr="0050053A" w:rsidRDefault="003B241F" w:rsidP="000A28E2">
            <w:pPr>
              <w:pStyle w:val="Pa12"/>
              <w:rPr>
                <w:sz w:val="22"/>
                <w:szCs w:val="22"/>
              </w:rPr>
            </w:pPr>
            <w:r w:rsidRPr="003B241F">
              <w:rPr>
                <w:sz w:val="22"/>
                <w:szCs w:val="22"/>
              </w:rPr>
              <w:t xml:space="preserve">Fast-growing and naturally durable eucalyptus species, including </w:t>
            </w:r>
            <w:r w:rsidRPr="003B241F">
              <w:rPr>
                <w:i/>
                <w:iCs/>
                <w:sz w:val="22"/>
                <w:szCs w:val="22"/>
              </w:rPr>
              <w:t xml:space="preserve">Eucalyptus </w:t>
            </w:r>
            <w:proofErr w:type="spellStart"/>
            <w:r w:rsidRPr="003B241F">
              <w:rPr>
                <w:i/>
                <w:iCs/>
                <w:sz w:val="22"/>
                <w:szCs w:val="22"/>
              </w:rPr>
              <w:t>globoidea</w:t>
            </w:r>
            <w:proofErr w:type="spellEnd"/>
            <w:r w:rsidRPr="003B241F">
              <w:rPr>
                <w:i/>
                <w:iCs/>
                <w:sz w:val="22"/>
                <w:szCs w:val="22"/>
              </w:rPr>
              <w:t xml:space="preserve"> </w:t>
            </w:r>
            <w:r w:rsidRPr="003B241F">
              <w:rPr>
                <w:sz w:val="22"/>
                <w:szCs w:val="22"/>
              </w:rPr>
              <w:t>(</w:t>
            </w:r>
            <w:r w:rsidRPr="003B241F">
              <w:rPr>
                <w:i/>
                <w:iCs/>
                <w:sz w:val="22"/>
                <w:szCs w:val="22"/>
              </w:rPr>
              <w:t xml:space="preserve">E. </w:t>
            </w:r>
            <w:proofErr w:type="spellStart"/>
            <w:r w:rsidRPr="003B241F">
              <w:rPr>
                <w:i/>
                <w:iCs/>
                <w:sz w:val="22"/>
                <w:szCs w:val="22"/>
              </w:rPr>
              <w:t>globoidea</w:t>
            </w:r>
            <w:proofErr w:type="spellEnd"/>
            <w:r w:rsidRPr="003B241F">
              <w:rPr>
                <w:sz w:val="22"/>
                <w:szCs w:val="22"/>
              </w:rPr>
              <w:t xml:space="preserve">) and </w:t>
            </w:r>
            <w:r w:rsidRPr="003B241F">
              <w:rPr>
                <w:i/>
                <w:iCs/>
                <w:sz w:val="22"/>
                <w:szCs w:val="22"/>
              </w:rPr>
              <w:t xml:space="preserve">Eucalyptus </w:t>
            </w:r>
            <w:proofErr w:type="spellStart"/>
            <w:r w:rsidRPr="003B241F">
              <w:rPr>
                <w:i/>
                <w:iCs/>
                <w:sz w:val="22"/>
                <w:szCs w:val="22"/>
              </w:rPr>
              <w:t>bosistoana</w:t>
            </w:r>
            <w:proofErr w:type="spellEnd"/>
            <w:r w:rsidRPr="003B241F">
              <w:rPr>
                <w:i/>
                <w:iCs/>
                <w:sz w:val="22"/>
                <w:szCs w:val="22"/>
              </w:rPr>
              <w:t xml:space="preserve"> </w:t>
            </w:r>
            <w:r w:rsidRPr="003B241F">
              <w:rPr>
                <w:sz w:val="22"/>
                <w:szCs w:val="22"/>
              </w:rPr>
              <w:t>(</w:t>
            </w:r>
            <w:r w:rsidRPr="003B241F">
              <w:rPr>
                <w:i/>
                <w:iCs/>
                <w:sz w:val="22"/>
                <w:szCs w:val="22"/>
              </w:rPr>
              <w:t xml:space="preserve">E. </w:t>
            </w:r>
            <w:proofErr w:type="spellStart"/>
            <w:r w:rsidRPr="003B241F">
              <w:rPr>
                <w:i/>
                <w:iCs/>
                <w:sz w:val="22"/>
                <w:szCs w:val="22"/>
              </w:rPr>
              <w:t>bosistoana</w:t>
            </w:r>
            <w:proofErr w:type="spellEnd"/>
            <w:r w:rsidRPr="003B241F">
              <w:rPr>
                <w:sz w:val="22"/>
                <w:szCs w:val="22"/>
              </w:rPr>
              <w:t>), growing in the Marlborough region of New Zealand, have the potential to enhance sustainability and reduce greenhouse gas emissions in the region’s wine industry.</w:t>
            </w:r>
            <w:r>
              <w:t xml:space="preserve"> </w:t>
            </w:r>
            <w:r w:rsidRPr="003B241F">
              <w:rPr>
                <w:sz w:val="22"/>
                <w:szCs w:val="22"/>
              </w:rPr>
              <w:t>There is a need for accurate estimation of total biomass production and total carbon sequestration. However, the extent of carbon sequestration by these eucalyptus species remains unexplored.</w:t>
            </w:r>
            <w:r>
              <w:rPr>
                <w:sz w:val="22"/>
                <w:szCs w:val="22"/>
              </w:rPr>
              <w:t xml:space="preserve"> </w:t>
            </w:r>
            <w:r w:rsidRPr="003B241F">
              <w:rPr>
                <w:sz w:val="22"/>
                <w:szCs w:val="22"/>
              </w:rPr>
              <w:t xml:space="preserve">This study aimed to </w:t>
            </w:r>
            <w:proofErr w:type="gramStart"/>
            <w:r w:rsidRPr="003B241F">
              <w:rPr>
                <w:sz w:val="22"/>
                <w:szCs w:val="22"/>
              </w:rPr>
              <w:t>efficiently and accurately estimate individual tree dimension</w:t>
            </w:r>
            <w:r w:rsidR="004E5D63">
              <w:rPr>
                <w:sz w:val="22"/>
                <w:szCs w:val="22"/>
              </w:rPr>
              <w:t>s</w:t>
            </w:r>
            <w:r w:rsidRPr="003B241F">
              <w:rPr>
                <w:sz w:val="22"/>
                <w:szCs w:val="22"/>
              </w:rPr>
              <w:t xml:space="preserve"> (diameter at breast height (DBH)) and above-ground biomass (AGB)</w:t>
            </w:r>
            <w:proofErr w:type="gramEnd"/>
            <w:r w:rsidRPr="003B241F">
              <w:rPr>
                <w:sz w:val="22"/>
                <w:szCs w:val="22"/>
              </w:rPr>
              <w:t xml:space="preserve"> for </w:t>
            </w:r>
            <w:r w:rsidRPr="003B241F">
              <w:rPr>
                <w:i/>
                <w:iCs/>
                <w:sz w:val="22"/>
                <w:szCs w:val="22"/>
              </w:rPr>
              <w:t xml:space="preserve">E. </w:t>
            </w:r>
            <w:proofErr w:type="spellStart"/>
            <w:r w:rsidRPr="003B241F">
              <w:rPr>
                <w:i/>
                <w:iCs/>
                <w:sz w:val="22"/>
                <w:szCs w:val="22"/>
              </w:rPr>
              <w:t>globoidea</w:t>
            </w:r>
            <w:proofErr w:type="spellEnd"/>
            <w:r w:rsidRPr="003B241F">
              <w:rPr>
                <w:sz w:val="22"/>
                <w:szCs w:val="22"/>
              </w:rPr>
              <w:t xml:space="preserve"> and </w:t>
            </w:r>
            <w:r w:rsidRPr="003B241F">
              <w:rPr>
                <w:i/>
                <w:iCs/>
                <w:sz w:val="22"/>
                <w:szCs w:val="22"/>
              </w:rPr>
              <w:t xml:space="preserve">E. </w:t>
            </w:r>
            <w:proofErr w:type="spellStart"/>
            <w:r w:rsidRPr="003B241F">
              <w:rPr>
                <w:i/>
                <w:iCs/>
                <w:sz w:val="22"/>
                <w:szCs w:val="22"/>
              </w:rPr>
              <w:t>bosistoana</w:t>
            </w:r>
            <w:proofErr w:type="spellEnd"/>
            <w:r w:rsidRPr="003B241F">
              <w:rPr>
                <w:sz w:val="22"/>
                <w:szCs w:val="22"/>
              </w:rPr>
              <w:t xml:space="preserve"> using light detection and ranging (LiDAR) data acquired by an unpiloted aerial vehicle (UAV) and destructive sampled ground truth data.</w:t>
            </w:r>
            <w:r w:rsidR="001564A4">
              <w:rPr>
                <w:sz w:val="22"/>
                <w:szCs w:val="22"/>
              </w:rPr>
              <w:br/>
            </w: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0ABE0699" w14:textId="225B599B" w:rsidR="003B241F" w:rsidRPr="003B241F" w:rsidRDefault="003B241F" w:rsidP="003B241F">
            <w:pPr>
              <w:pStyle w:val="Pa12"/>
              <w:rPr>
                <w:sz w:val="22"/>
                <w:szCs w:val="22"/>
              </w:rPr>
            </w:pPr>
            <w:r w:rsidRPr="003B241F">
              <w:rPr>
                <w:sz w:val="22"/>
                <w:szCs w:val="22"/>
              </w:rPr>
              <w:t>LiDAR data w</w:t>
            </w:r>
            <w:r w:rsidR="004E5D63">
              <w:rPr>
                <w:sz w:val="22"/>
                <w:szCs w:val="22"/>
              </w:rPr>
              <w:t>ere</w:t>
            </w:r>
            <w:r w:rsidRPr="003B241F">
              <w:rPr>
                <w:sz w:val="22"/>
                <w:szCs w:val="22"/>
              </w:rPr>
              <w:t xml:space="preserve"> captured with a </w:t>
            </w:r>
            <w:proofErr w:type="spellStart"/>
            <w:r w:rsidRPr="003B241F">
              <w:rPr>
                <w:sz w:val="22"/>
                <w:szCs w:val="22"/>
              </w:rPr>
              <w:t>Zenmuse</w:t>
            </w:r>
            <w:proofErr w:type="spellEnd"/>
            <w:r w:rsidRPr="003B241F">
              <w:rPr>
                <w:sz w:val="22"/>
                <w:szCs w:val="22"/>
              </w:rPr>
              <w:t xml:space="preserve"> L1 LiDAR sensor mounted on a DJI Matrice 300 RTK drone over nine sites, followed by destructive sampling to quantify individual tree biomass. In total</w:t>
            </w:r>
            <w:r w:rsidR="004E5D63">
              <w:rPr>
                <w:sz w:val="22"/>
                <w:szCs w:val="22"/>
              </w:rPr>
              <w:t>,</w:t>
            </w:r>
            <w:r w:rsidRPr="003B241F">
              <w:rPr>
                <w:sz w:val="22"/>
                <w:szCs w:val="22"/>
              </w:rPr>
              <w:t xml:space="preserve"> 96 individual tree LiDAR metrics were extracted and </w:t>
            </w:r>
            <w:r w:rsidR="004E5D63">
              <w:rPr>
                <w:sz w:val="22"/>
                <w:szCs w:val="22"/>
              </w:rPr>
              <w:t xml:space="preserve">were </w:t>
            </w:r>
            <w:r w:rsidRPr="003B241F">
              <w:rPr>
                <w:sz w:val="22"/>
                <w:szCs w:val="22"/>
              </w:rPr>
              <w:t>used as explanatory variables for training and predicting DBH and AGB models. Three machine learning (ML) models, including Partial Least Squares Regression (PLSR), Random Forest (RF), and Extreme Gradient Boosting (</w:t>
            </w:r>
            <w:proofErr w:type="spellStart"/>
            <w:r w:rsidRPr="003B241F">
              <w:rPr>
                <w:sz w:val="22"/>
                <w:szCs w:val="22"/>
              </w:rPr>
              <w:t>XGBoost</w:t>
            </w:r>
            <w:proofErr w:type="spellEnd"/>
            <w:r w:rsidRPr="003B241F">
              <w:rPr>
                <w:sz w:val="22"/>
                <w:szCs w:val="22"/>
              </w:rPr>
              <w:t>), were trained using</w:t>
            </w:r>
            <w:r w:rsidR="004E5D63">
              <w:rPr>
                <w:sz w:val="22"/>
                <w:szCs w:val="22"/>
              </w:rPr>
              <w:t xml:space="preserve"> a</w:t>
            </w:r>
            <w:r w:rsidRPr="003B241F">
              <w:rPr>
                <w:sz w:val="22"/>
                <w:szCs w:val="22"/>
              </w:rPr>
              <w:t xml:space="preserve"> grid-search strategy and repeated cross-validation.</w:t>
            </w:r>
            <w:r>
              <w:rPr>
                <w:sz w:val="22"/>
                <w:szCs w:val="22"/>
              </w:rPr>
              <w:t xml:space="preserve"> </w:t>
            </w:r>
            <w:r w:rsidRPr="003B241F">
              <w:rPr>
                <w:sz w:val="22"/>
                <w:szCs w:val="22"/>
              </w:rPr>
              <w:t xml:space="preserve">Model performance was evaluated using root mean square error (RMSE) and R², while </w:t>
            </w:r>
            <w:proofErr w:type="spellStart"/>
            <w:r w:rsidRPr="003B241F">
              <w:rPr>
                <w:sz w:val="22"/>
                <w:szCs w:val="22"/>
              </w:rPr>
              <w:t>SHapley</w:t>
            </w:r>
            <w:proofErr w:type="spellEnd"/>
            <w:r w:rsidRPr="003B241F">
              <w:rPr>
                <w:sz w:val="22"/>
                <w:szCs w:val="22"/>
              </w:rPr>
              <w:t xml:space="preserve"> Additive </w:t>
            </w:r>
            <w:proofErr w:type="spellStart"/>
            <w:r w:rsidRPr="003B241F">
              <w:rPr>
                <w:sz w:val="22"/>
                <w:szCs w:val="22"/>
              </w:rPr>
              <w:t>exPlanations</w:t>
            </w:r>
            <w:proofErr w:type="spellEnd"/>
            <w:r w:rsidRPr="003B241F">
              <w:rPr>
                <w:sz w:val="22"/>
                <w:szCs w:val="22"/>
              </w:rPr>
              <w:t xml:space="preserve"> (SHAP) analysis was employed to explain model predictions and evaluate input variables.</w:t>
            </w:r>
          </w:p>
          <w:p w14:paraId="7C76B250" w14:textId="370FE16B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0861549B" w14:textId="103F3585" w:rsidR="001564A4" w:rsidRPr="0050053A" w:rsidRDefault="003B241F" w:rsidP="003B241F">
            <w:pPr>
              <w:pStyle w:val="Pa12"/>
              <w:rPr>
                <w:sz w:val="22"/>
                <w:szCs w:val="22"/>
              </w:rPr>
            </w:pPr>
            <w:r w:rsidRPr="003B241F">
              <w:rPr>
                <w:sz w:val="22"/>
                <w:szCs w:val="22"/>
              </w:rPr>
              <w:t xml:space="preserve">Preliminary results showed that among the ML models, </w:t>
            </w:r>
            <w:proofErr w:type="spellStart"/>
            <w:r w:rsidRPr="003B241F">
              <w:rPr>
                <w:sz w:val="22"/>
                <w:szCs w:val="22"/>
              </w:rPr>
              <w:t>XGBoost</w:t>
            </w:r>
            <w:proofErr w:type="spellEnd"/>
            <w:r w:rsidRPr="003B241F">
              <w:rPr>
                <w:sz w:val="22"/>
                <w:szCs w:val="22"/>
              </w:rPr>
              <w:t xml:space="preserve"> and PLSR demonstrated superior performance, with the former yielding the highest R² value of  0.861 and the lowest RMSE of 53.897 for AGB, and the latter achieving the highest R² value of 0.840 and the lowest RMSE of 3.657 for DBH. SHAP analysis highlighted that height and voxel metrics are the most important factors influencing AGB and DBH prediction.</w:t>
            </w:r>
            <w:r w:rsidR="001564A4">
              <w:rPr>
                <w:sz w:val="22"/>
                <w:szCs w:val="22"/>
              </w:rPr>
              <w:br/>
            </w: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5F58D34F" w14:textId="65A45D84" w:rsidR="001564A4" w:rsidRPr="0050053A" w:rsidRDefault="003B241F" w:rsidP="00A3383A">
            <w:pPr>
              <w:pStyle w:val="Pa12"/>
              <w:rPr>
                <w:sz w:val="22"/>
                <w:szCs w:val="22"/>
                <w:lang w:val="en-US" w:eastAsia="en-GB"/>
              </w:rPr>
            </w:pPr>
            <w:r w:rsidRPr="003B241F">
              <w:rPr>
                <w:sz w:val="22"/>
                <w:szCs w:val="22"/>
              </w:rPr>
              <w:t xml:space="preserve">These findings prove that using UAV LiDAR could estimate carbon sequestration of eucalyptus plantations efficiently and </w:t>
            </w:r>
            <w:proofErr w:type="gramStart"/>
            <w:r w:rsidRPr="003B241F">
              <w:rPr>
                <w:sz w:val="22"/>
                <w:szCs w:val="22"/>
              </w:rPr>
              <w:t>accurately, and</w:t>
            </w:r>
            <w:proofErr w:type="gramEnd"/>
            <w:r w:rsidRPr="003B241F">
              <w:rPr>
                <w:sz w:val="22"/>
                <w:szCs w:val="22"/>
              </w:rPr>
              <w:t xml:space="preserve"> can support sustainable practices in the Marlborough region's wine industry.</w:t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  <w:r w:rsidR="001564A4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7BCA7251" w14:textId="77777777" w:rsidR="001F0AC4" w:rsidRDefault="001F0AC4" w:rsidP="001564A4"/>
    <w:p w14:paraId="46DFB3DD" w14:textId="77777777" w:rsidR="001F0AC4" w:rsidRPr="001F0AC4" w:rsidRDefault="001F0AC4" w:rsidP="001F0AC4">
      <w:pPr>
        <w:pStyle w:val="Pa12"/>
        <w:rPr>
          <w:rStyle w:val="A4"/>
          <w:i/>
          <w:iCs/>
        </w:rPr>
      </w:pPr>
      <w:r w:rsidRPr="001F0AC4">
        <w:rPr>
          <w:rStyle w:val="A4"/>
          <w:i/>
          <w:iCs/>
        </w:rPr>
        <w:t>Please note the headings provided are optional</w:t>
      </w:r>
      <w:r>
        <w:rPr>
          <w:rStyle w:val="A4"/>
          <w:i/>
          <w:iCs/>
        </w:rPr>
        <w:t>, please remove or change to best suit your content.</w:t>
      </w:r>
    </w:p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F0AC4"/>
    <w:rsid w:val="003B241F"/>
    <w:rsid w:val="004E5D63"/>
    <w:rsid w:val="0051574E"/>
    <w:rsid w:val="005E610F"/>
    <w:rsid w:val="008803FA"/>
    <w:rsid w:val="00964B28"/>
    <w:rsid w:val="00A3383A"/>
    <w:rsid w:val="00B12E32"/>
    <w:rsid w:val="00CF7FFC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purl.org/dc/terms/"/>
    <ds:schemaRef ds:uri="http://www.w3.org/XML/1998/namespace"/>
    <ds:schemaRef ds:uri="cab52c9b-ab33-4221-8af9-54f8f2b86a80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c8a2b7b-0bee-4c48-b0a6-23db8982d3bc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2024-03-17T22:35:00Z</dcterms:created>
  <dcterms:modified xsi:type="dcterms:W3CDTF">2024-03-17T22:35:00Z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