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E4B62" w14:textId="77777777" w:rsidR="00A8399D" w:rsidRDefault="00A8399D" w:rsidP="00A8399D">
      <w:pPr>
        <w:pStyle w:val="NoSpacing"/>
        <w:rPr>
          <w:b/>
          <w:bCs/>
        </w:rPr>
      </w:pPr>
    </w:p>
    <w:p w14:paraId="6C2E5E90" w14:textId="77777777" w:rsidR="00A8399D" w:rsidRDefault="00A8399D" w:rsidP="00A8399D">
      <w:pPr>
        <w:pStyle w:val="NoSpacing"/>
        <w:rPr>
          <w:b/>
          <w:bCs/>
        </w:rPr>
      </w:pPr>
    </w:p>
    <w:p w14:paraId="4D8A08F7" w14:textId="08DEF374" w:rsidR="00C048F0" w:rsidRPr="00A8399D" w:rsidRDefault="0081134A" w:rsidP="00A8399D">
      <w:pPr>
        <w:pStyle w:val="NoSpacing"/>
        <w:rPr>
          <w:b/>
          <w:bCs/>
        </w:rPr>
      </w:pPr>
      <w:r w:rsidRPr="00A8399D">
        <w:rPr>
          <w:b/>
          <w:bCs/>
        </w:rPr>
        <w:t xml:space="preserve">Post-Discharge Telehealth Insulin Stabilisation Program: Impact on Glycaemic Profiles and </w:t>
      </w:r>
      <w:r w:rsidR="004B14BC" w:rsidRPr="00A8399D">
        <w:rPr>
          <w:b/>
          <w:bCs/>
        </w:rPr>
        <w:t xml:space="preserve">Hospital Readmission Rates, and </w:t>
      </w:r>
      <w:r w:rsidRPr="00A8399D">
        <w:rPr>
          <w:b/>
          <w:bCs/>
        </w:rPr>
        <w:t>Predictors of Success</w:t>
      </w:r>
    </w:p>
    <w:p w14:paraId="4B4A175D" w14:textId="77777777" w:rsidR="0055291B" w:rsidRPr="00A8399D" w:rsidRDefault="0055291B" w:rsidP="00A8399D">
      <w:pPr>
        <w:pStyle w:val="NoSpacing"/>
        <w:rPr>
          <w:b/>
          <w:bCs/>
        </w:rPr>
      </w:pPr>
    </w:p>
    <w:p w14:paraId="78A4D840" w14:textId="77777777" w:rsidR="0055291B" w:rsidRPr="00A8399D" w:rsidRDefault="000F4E8D" w:rsidP="00A8399D">
      <w:pPr>
        <w:pStyle w:val="NoSpacing"/>
        <w:rPr>
          <w:b/>
          <w:bCs/>
        </w:rPr>
      </w:pPr>
      <w:r w:rsidRPr="00A8399D">
        <w:rPr>
          <w:b/>
          <w:bCs/>
        </w:rPr>
        <w:t>Background &amp; Aim</w:t>
      </w:r>
    </w:p>
    <w:p w14:paraId="4386DB26" w14:textId="4A7B5626" w:rsidR="00C048F0" w:rsidRPr="00A8399D" w:rsidRDefault="000F4E8D" w:rsidP="00A8399D">
      <w:pPr>
        <w:pStyle w:val="NoSpacing"/>
      </w:pPr>
      <w:r w:rsidRPr="00A8399D">
        <w:t>The post-discharge period is high-risk for patients with diabetes, with hypoglycaemia rates approaching 20% within two weeks and 30-day readmission rates exceeding 30%. While telehealth interventions show promise, data identifying which patients benefit most remains limited. The Central Coast Endocrine Department's Insulin Stabilisation Program (ISP) provides twice-weekly phone consultations over 2–4 weeks post-discharge to optimise insulin regimens. We aimed to evaluate the ISP's impact on glycaemic profil</w:t>
      </w:r>
      <w:r w:rsidRPr="00A8399D">
        <w:t xml:space="preserve">es and hospital </w:t>
      </w:r>
      <w:proofErr w:type="gramStart"/>
      <w:r w:rsidRPr="00A8399D">
        <w:t>readmissions, and</w:t>
      </w:r>
      <w:proofErr w:type="gramEnd"/>
      <w:r w:rsidRPr="00A8399D">
        <w:t xml:space="preserve"> identify predictors of program success.</w:t>
      </w:r>
    </w:p>
    <w:p w14:paraId="62D3592D" w14:textId="77777777" w:rsidR="0055291B" w:rsidRPr="00A8399D" w:rsidRDefault="0055291B" w:rsidP="00A8399D">
      <w:pPr>
        <w:pStyle w:val="NoSpacing"/>
        <w:rPr>
          <w:b/>
          <w:bCs/>
        </w:rPr>
      </w:pPr>
    </w:p>
    <w:p w14:paraId="5DE8FED8" w14:textId="77777777" w:rsidR="0055291B" w:rsidRPr="00A8399D" w:rsidRDefault="000F4E8D" w:rsidP="00A8399D">
      <w:pPr>
        <w:pStyle w:val="NoSpacing"/>
        <w:rPr>
          <w:b/>
          <w:bCs/>
        </w:rPr>
      </w:pPr>
      <w:r w:rsidRPr="00A8399D">
        <w:rPr>
          <w:b/>
          <w:bCs/>
        </w:rPr>
        <w:t>Methods</w:t>
      </w:r>
    </w:p>
    <w:p w14:paraId="27921E78" w14:textId="41094F95" w:rsidR="00C048F0" w:rsidRPr="00A8399D" w:rsidRDefault="000F4E8D" w:rsidP="00A8399D">
      <w:pPr>
        <w:pStyle w:val="NoSpacing"/>
      </w:pPr>
      <w:r w:rsidRPr="00A8399D">
        <w:t>A retrospective cohort study of 297 ISP participants</w:t>
      </w:r>
      <w:r w:rsidR="0092368D" w:rsidRPr="00A8399D">
        <w:t xml:space="preserve"> in 2024</w:t>
      </w:r>
      <w:r w:rsidRPr="00A8399D">
        <w:t xml:space="preserve"> included patients new to insulin, newly diagnosed, with labile glucose, or changed regimens. Primary outcomes were HbA1c change, hypoglycaemic events, and hospital representations. Logistic regression identified outcome predictors.</w:t>
      </w:r>
    </w:p>
    <w:p w14:paraId="770597EC" w14:textId="77777777" w:rsidR="0055291B" w:rsidRPr="00A8399D" w:rsidRDefault="0055291B" w:rsidP="00A8399D">
      <w:pPr>
        <w:pStyle w:val="NoSpacing"/>
        <w:rPr>
          <w:b/>
          <w:bCs/>
        </w:rPr>
      </w:pPr>
    </w:p>
    <w:p w14:paraId="1091EFC2" w14:textId="77777777" w:rsidR="0055291B" w:rsidRPr="00A8399D" w:rsidRDefault="000F4E8D" w:rsidP="00A8399D">
      <w:pPr>
        <w:pStyle w:val="NoSpacing"/>
        <w:rPr>
          <w:b/>
          <w:bCs/>
        </w:rPr>
      </w:pPr>
      <w:r w:rsidRPr="00A8399D">
        <w:rPr>
          <w:b/>
          <w:bCs/>
        </w:rPr>
        <w:t>Results</w:t>
      </w:r>
    </w:p>
    <w:p w14:paraId="2BA79705" w14:textId="10A32A3C" w:rsidR="00C048F0" w:rsidRPr="00A8399D" w:rsidRDefault="000F4E8D" w:rsidP="00A8399D">
      <w:pPr>
        <w:pStyle w:val="NoSpacing"/>
      </w:pPr>
      <w:r w:rsidRPr="00A8399D">
        <w:t xml:space="preserve">Participants (mean age 60.4±17.1 years) had predominantly type 2 diabetes (78.1%). Mean HbA1c decreased from 10.59±2.60% to 8.13±2.00% (mean difference 2.46%, 95% CI 1.91–3.01, p&lt;0.001). Median hypoglycaemic events were zero (71.5% experienced none). Hospital representations occurred in 60.6% overall but only 7.1% were </w:t>
      </w:r>
      <w:r w:rsidR="00B163D5" w:rsidRPr="00A8399D">
        <w:t>glycemia</w:t>
      </w:r>
      <w:r w:rsidRPr="00A8399D">
        <w:t>-related. Insulin-naïve patients had six-fold higher odds of achieving ≥1% HbA1c reduction (OR 6.02, 95% CI 2.29–19.02, p&lt;0.001). First-time ISP participation was protective against hospital representation (OR 0.25, 95% CI 0.09–0.58, p&lt;0.001). Type 1 diabetes predicted hypoglycaemia (OR 5.94, 95% CI 3.12–11.65, p&lt;0.001).</w:t>
      </w:r>
    </w:p>
    <w:p w14:paraId="3C254B83" w14:textId="77777777" w:rsidR="0055291B" w:rsidRPr="00A8399D" w:rsidRDefault="0055291B" w:rsidP="00A8399D">
      <w:pPr>
        <w:pStyle w:val="NoSpacing"/>
        <w:rPr>
          <w:b/>
          <w:bCs/>
        </w:rPr>
      </w:pPr>
    </w:p>
    <w:p w14:paraId="6E91DC35" w14:textId="035E52E8" w:rsidR="0055291B" w:rsidRPr="00A8399D" w:rsidRDefault="000F4E8D" w:rsidP="00A8399D">
      <w:pPr>
        <w:pStyle w:val="NoSpacing"/>
        <w:rPr>
          <w:b/>
          <w:bCs/>
        </w:rPr>
      </w:pPr>
      <w:r w:rsidRPr="00A8399D">
        <w:rPr>
          <w:b/>
          <w:bCs/>
        </w:rPr>
        <w:t>Discussion/Conclusion</w:t>
      </w:r>
    </w:p>
    <w:p w14:paraId="575961D9" w14:textId="37A275E6" w:rsidR="00C048F0" w:rsidRPr="00A8399D" w:rsidRDefault="000F4E8D" w:rsidP="00A8399D">
      <w:pPr>
        <w:pStyle w:val="NoSpacing"/>
      </w:pPr>
      <w:r w:rsidRPr="00A8399D">
        <w:t xml:space="preserve">The ISP achieved clinically significant HbA1c reduction (2.46%) with minimal hypoglycaemia, representing an effective and safe model of care. Insulin-naïve patients and first-time participants demonstrated superior outcomes, providing evidence-based guidance for patient selection. Telehealth insulin stabilisation programs should prioritise these groups while developing alternative pathways for repeat </w:t>
      </w:r>
      <w:proofErr w:type="spellStart"/>
      <w:r w:rsidRPr="00A8399D">
        <w:t>enrollees</w:t>
      </w:r>
      <w:proofErr w:type="spellEnd"/>
      <w:r w:rsidRPr="00A8399D">
        <w:t>.</w:t>
      </w:r>
    </w:p>
    <w:sectPr w:rsidR="00C048F0" w:rsidRPr="00A8399D">
      <w:pgSz w:w="12240" w:h="15840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D51FEB"/>
    <w:multiLevelType w:val="hybridMultilevel"/>
    <w:tmpl w:val="6D5E3E82"/>
    <w:lvl w:ilvl="0" w:tplc="4AE0E6F8">
      <w:start w:val="1"/>
      <w:numFmt w:val="bullet"/>
      <w:lvlText w:val="●"/>
      <w:lvlJc w:val="left"/>
      <w:pPr>
        <w:ind w:left="720" w:hanging="360"/>
      </w:pPr>
    </w:lvl>
    <w:lvl w:ilvl="1" w:tplc="3DECDA62">
      <w:start w:val="1"/>
      <w:numFmt w:val="bullet"/>
      <w:lvlText w:val="○"/>
      <w:lvlJc w:val="left"/>
      <w:pPr>
        <w:ind w:left="1440" w:hanging="360"/>
      </w:pPr>
    </w:lvl>
    <w:lvl w:ilvl="2" w:tplc="712AF8B0">
      <w:start w:val="1"/>
      <w:numFmt w:val="bullet"/>
      <w:lvlText w:val="■"/>
      <w:lvlJc w:val="left"/>
      <w:pPr>
        <w:ind w:left="2160" w:hanging="360"/>
      </w:pPr>
    </w:lvl>
    <w:lvl w:ilvl="3" w:tplc="F8B84B52">
      <w:start w:val="1"/>
      <w:numFmt w:val="bullet"/>
      <w:lvlText w:val="●"/>
      <w:lvlJc w:val="left"/>
      <w:pPr>
        <w:ind w:left="2880" w:hanging="360"/>
      </w:pPr>
    </w:lvl>
    <w:lvl w:ilvl="4" w:tplc="D6561EF4">
      <w:start w:val="1"/>
      <w:numFmt w:val="bullet"/>
      <w:lvlText w:val="○"/>
      <w:lvlJc w:val="left"/>
      <w:pPr>
        <w:ind w:left="3600" w:hanging="360"/>
      </w:pPr>
    </w:lvl>
    <w:lvl w:ilvl="5" w:tplc="E956503A">
      <w:start w:val="1"/>
      <w:numFmt w:val="bullet"/>
      <w:lvlText w:val="■"/>
      <w:lvlJc w:val="left"/>
      <w:pPr>
        <w:ind w:left="4320" w:hanging="360"/>
      </w:pPr>
    </w:lvl>
    <w:lvl w:ilvl="6" w:tplc="3196B078">
      <w:start w:val="1"/>
      <w:numFmt w:val="bullet"/>
      <w:lvlText w:val="●"/>
      <w:lvlJc w:val="left"/>
      <w:pPr>
        <w:ind w:left="5040" w:hanging="360"/>
      </w:pPr>
    </w:lvl>
    <w:lvl w:ilvl="7" w:tplc="7DDABC14">
      <w:start w:val="1"/>
      <w:numFmt w:val="bullet"/>
      <w:lvlText w:val="●"/>
      <w:lvlJc w:val="left"/>
      <w:pPr>
        <w:ind w:left="5760" w:hanging="360"/>
      </w:pPr>
    </w:lvl>
    <w:lvl w:ilvl="8" w:tplc="CB34076C">
      <w:start w:val="1"/>
      <w:numFmt w:val="bullet"/>
      <w:lvlText w:val="●"/>
      <w:lvlJc w:val="left"/>
      <w:pPr>
        <w:ind w:left="6480" w:hanging="360"/>
      </w:pPr>
    </w:lvl>
  </w:abstractNum>
  <w:num w:numId="1" w16cid:durableId="12315552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oNotDisplayPageBoundaries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48F0"/>
    <w:rsid w:val="0020203F"/>
    <w:rsid w:val="00256F13"/>
    <w:rsid w:val="0029186D"/>
    <w:rsid w:val="004B14BC"/>
    <w:rsid w:val="0055291B"/>
    <w:rsid w:val="0056094B"/>
    <w:rsid w:val="005B4D4E"/>
    <w:rsid w:val="007863D1"/>
    <w:rsid w:val="0081134A"/>
    <w:rsid w:val="00911372"/>
    <w:rsid w:val="0092368D"/>
    <w:rsid w:val="00992E03"/>
    <w:rsid w:val="009E17AC"/>
    <w:rsid w:val="00A14441"/>
    <w:rsid w:val="00A8399D"/>
    <w:rsid w:val="00B163D5"/>
    <w:rsid w:val="00C048F0"/>
    <w:rsid w:val="00D16780"/>
    <w:rsid w:val="00D65723"/>
    <w:rsid w:val="00E7031C"/>
    <w:rsid w:val="00FC3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98FA3D"/>
  <w15:docId w15:val="{22D8B6DF-3830-C540-87E4-204128664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AU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styleId="NoSpacing">
    <w:name w:val="No Spacing"/>
    <w:uiPriority w:val="1"/>
    <w:qFormat/>
    <w:rsid w:val="005529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9" ma:contentTypeDescription="Create a new document." ma:contentTypeScope="" ma:versionID="1e4cde8aeba8d06decea519705833ef9">
  <xsd:schema xmlns:xsd="http://www.w3.org/2001/XMLSchema" xmlns:xs="http://www.w3.org/2001/XMLSchema" xmlns:p="http://schemas.microsoft.com/office/2006/metadata/properties" xmlns:ns2="6911e96c-4cc4-42d5-8e43-f93924cf6a05" xmlns:ns3="9c8a2b7b-0bee-4c48-b0a6-23db8982d3bc" xmlns:ns4="cab52c9b-ab33-4221-8af9-54f8f2b86a80" targetNamespace="http://schemas.microsoft.com/office/2006/metadata/properties" ma:root="true" ma:fieldsID="c2547b505fb9776ca1b32cb0adf46968" ns2:_="" ns3:_="" ns4:_="">
    <xsd:import namespace="6911e96c-4cc4-42d5-8e43-f93924cf6a05"/>
    <xsd:import namespace="9c8a2b7b-0bee-4c48-b0a6-23db8982d3bc"/>
    <xsd:import namespace="cab52c9b-ab33-4221-8af9-54f8f2b86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635817-86d4-483c-865d-47556d3f4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52c9b-ab33-4221-8af9-54f8f2b86a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b321a2a-d050-4ca1-b64d-75ec18c39cb6}" ma:internalName="TaxCatchAll" ma:showField="CatchAllData" ma:web="cab52c9b-ab33-4221-8af9-54f8f2b86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b52c9b-ab33-4221-8af9-54f8f2b86a80" xsi:nil="true"/>
    <lcf76f155ced4ddcb4097134ff3c332f xmlns="6911e96c-4cc4-42d5-8e43-f93924cf6a0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5393FE8-8AE3-4E7E-A720-BB1E663F45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cab52c9b-ab33-4221-8af9-54f8f2b86a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ABBA930-3BDF-4012-9256-E14CB295151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1AC8CE8-44A0-4589-8BAA-690068014347}">
  <ds:schemaRefs>
    <ds:schemaRef ds:uri="http://schemas.microsoft.com/office/2006/metadata/properties"/>
    <ds:schemaRef ds:uri="http://schemas.microsoft.com/office/infopath/2007/PartnerControls"/>
    <ds:schemaRef ds:uri="cab52c9b-ab33-4221-8af9-54f8f2b86a80"/>
    <ds:schemaRef ds:uri="6911e96c-4cc4-42d5-8e43-f93924cf6a0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302</Words>
  <Characters>1849</Characters>
  <Application>Microsoft Office Word</Application>
  <DocSecurity>0</DocSecurity>
  <Lines>34</Lines>
  <Paragraphs>12</Paragraphs>
  <ScaleCrop>false</ScaleCrop>
  <Company/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Tanya Yandall</cp:lastModifiedBy>
  <cp:revision>3</cp:revision>
  <dcterms:created xsi:type="dcterms:W3CDTF">2026-02-15T03:24:00Z</dcterms:created>
  <dcterms:modified xsi:type="dcterms:W3CDTF">2026-02-15T03:24:00Z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  <property fmtid="{D5CDD505-2E9C-101B-9397-08002B2CF9AE}" pid="3" name="MediaServiceImageTags">
    <vt:lpwstr/>
  </property>
</Properties>
</file>