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0F155561" w14:textId="77777777">
        <w:tc>
          <w:tcPr>
            <w:tcW w:w="8640" w:type="dxa"/>
          </w:tcPr>
          <w:p w14:paraId="71F64080" w14:textId="77777777" w:rsidR="002B7FC8" w:rsidRPr="00620181" w:rsidRDefault="002B1BA4" w:rsidP="0027397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0181">
              <w:rPr>
                <w:rFonts w:ascii="Arial" w:hAnsi="Arial" w:cs="Arial"/>
                <w:b/>
                <w:sz w:val="22"/>
                <w:szCs w:val="22"/>
              </w:rPr>
              <w:t xml:space="preserve">Planning for Equity: A </w:t>
            </w:r>
            <w:r w:rsidR="00273979" w:rsidRPr="00620181">
              <w:rPr>
                <w:rFonts w:ascii="Arial" w:hAnsi="Arial" w:cs="Arial"/>
                <w:b/>
                <w:sz w:val="22"/>
                <w:szCs w:val="22"/>
              </w:rPr>
              <w:t>New Zealand Case Study of Health Equity Assessment (HEA)</w:t>
            </w:r>
          </w:p>
        </w:tc>
      </w:tr>
      <w:tr w:rsidR="002B7FC8" w:rsidRPr="0003525D" w14:paraId="71830506" w14:textId="77777777" w:rsidTr="00666DB4">
        <w:trPr>
          <w:trHeight w:val="841"/>
        </w:trPr>
        <w:tc>
          <w:tcPr>
            <w:tcW w:w="8640" w:type="dxa"/>
          </w:tcPr>
          <w:p w14:paraId="40792CD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BA6D08" w14:textId="77777777" w:rsidR="00391D30" w:rsidRPr="003166E5" w:rsidRDefault="004B7D91" w:rsidP="00391D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1F58A79" w14:textId="77777777" w:rsidR="00A217CC" w:rsidRPr="00A217CC" w:rsidRDefault="006B5173" w:rsidP="00A217C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Hea</w:t>
            </w:r>
            <w:r w:rsidR="00E941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</w:t>
            </w:r>
            <w:r w:rsidR="00E941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equity is a key issue for health promotion globally. </w:t>
            </w:r>
            <w:r w:rsidR="00810E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</w:t>
            </w:r>
            <w:r w:rsidR="003166E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New Zealand</w:t>
            </w:r>
            <w:r w:rsidR="00810E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the</w:t>
            </w:r>
            <w:r w:rsid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0312B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2008</w:t>
            </w:r>
            <w:r w:rsidR="003166E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Health Equity Assessment Tool (HEAT</w:t>
            </w:r>
            <w:r w:rsidR="00810E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Tool</w:t>
            </w:r>
            <w:r w:rsidR="003166E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</w:t>
            </w:r>
            <w:r w:rsidR="009777B4">
              <w:rPr>
                <w:rStyle w:val="EndnoteReference"/>
                <w:rFonts w:ascii="Arial" w:hAnsi="Arial" w:cs="Arial"/>
                <w:color w:val="000000"/>
                <w:sz w:val="22"/>
                <w:szCs w:val="22"/>
                <w:lang w:val="en-US"/>
              </w:rPr>
              <w:endnoteReference w:id="1"/>
            </w:r>
            <w:r w:rsidR="00810E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is a key resource for Health Promoters to advocate for </w:t>
            </w:r>
            <w:r w:rsidR="008B160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 health</w:t>
            </w:r>
            <w:r w:rsidR="00810E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equity </w:t>
            </w:r>
            <w:r w:rsidR="00666D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agenda. </w:t>
            </w:r>
            <w:r w:rsidR="003166E5" w:rsidRPr="003166E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Given the persisting inequities </w:t>
            </w:r>
            <w:r w:rsid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for Māori and the increasing</w:t>
            </w:r>
            <w:r w:rsidR="003166E5" w:rsidRPr="003166E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recognition by the health sector </w:t>
            </w:r>
            <w:r w:rsid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of its responsibility </w:t>
            </w:r>
            <w:r w:rsidR="001B75F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under</w:t>
            </w:r>
            <w:r w:rsidR="00A217C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Te Tiriti o Waitangi</w:t>
            </w:r>
            <w:r w:rsidR="00D57E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the use</w:t>
            </w:r>
            <w:r w:rsidR="003166E5" w:rsidRPr="003166E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of health equity tools</w:t>
            </w:r>
            <w:r w:rsidR="001F1E2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such as HEAT</w:t>
            </w:r>
            <w:r w:rsidR="00810E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3166E5" w:rsidRPr="003166E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is an undeveloped domain </w:t>
            </w:r>
            <w:r w:rsidR="008B160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warranting</w:t>
            </w:r>
            <w:r w:rsidR="003166E5" w:rsidRPr="003166E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research attention</w:t>
            </w:r>
            <w:r w:rsidR="003166E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r w:rsidR="002A1DB3" w:rsidRP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This study use</w:t>
            </w:r>
            <w:r w:rsid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</w:t>
            </w:r>
            <w:r w:rsidR="002A1DB3" w:rsidRP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Taranaki District Health Board as a case study to </w:t>
            </w:r>
            <w:r w:rsidR="0027397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explore</w:t>
            </w:r>
            <w:r w:rsidR="003A668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2A1DB3" w:rsidRP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how the </w:t>
            </w:r>
            <w:r w:rsid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HEAT Tool</w:t>
            </w:r>
            <w:r w:rsidR="002A1DB3" w:rsidRP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has been </w:t>
            </w:r>
            <w:r w:rsidR="0027397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employed to apply a critical health </w:t>
            </w:r>
            <w:r w:rsidR="002A1DB3" w:rsidRP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equity </w:t>
            </w:r>
            <w:r w:rsidR="0027397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planning </w:t>
            </w:r>
            <w:r w:rsidR="002A1DB3" w:rsidRPr="002A1DB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lens.</w:t>
            </w:r>
            <w:r w:rsidR="00A217C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3CE1122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7422A2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4961A686" w14:textId="77777777" w:rsidR="00DA7A71" w:rsidRPr="002277B6" w:rsidRDefault="00166047" w:rsidP="00E36AD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Case study analysis of three </w:t>
            </w:r>
            <w:r w:rsidR="00273979">
              <w:rPr>
                <w:rFonts w:ascii="Arial" w:hAnsi="Arial" w:cs="Arial"/>
                <w:sz w:val="22"/>
                <w:szCs w:val="22"/>
              </w:rPr>
              <w:t xml:space="preserve">HEAs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conducted on health service</w:t>
            </w:r>
            <w:r w:rsidR="00280A7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health promotion programmes. </w:t>
            </w:r>
            <w:r w:rsidR="00083B1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Data </w:t>
            </w:r>
            <w:r w:rsidR="002277B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was collected</w:t>
            </w:r>
            <w:r w:rsidR="00083B1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2277B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from</w:t>
            </w:r>
            <w:r w:rsidR="00083B1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 </w:t>
            </w:r>
            <w:r w:rsidR="001B740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stakeholder workshop, </w:t>
            </w:r>
            <w:r w:rsidR="00083B1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key informant interviews</w:t>
            </w:r>
            <w:r w:rsidR="002277B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documentary analysis</w:t>
            </w:r>
            <w:r w:rsidR="00083B1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The results </w:t>
            </w:r>
            <w:r w:rsidR="002277B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were analysed</w:t>
            </w:r>
            <w:r w:rsidR="00083B1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using the revised Conceptual Framework for Evaluating the Impact and Effectiveness of Health Impact Assessment</w:t>
            </w:r>
            <w:r w:rsidR="009777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  <w:r w:rsidR="001B7404">
              <w:rPr>
                <w:rStyle w:val="EndnoteReference"/>
                <w:rFonts w:ascii="Arial" w:hAnsi="Arial" w:cs="Arial"/>
                <w:color w:val="000000"/>
                <w:sz w:val="22"/>
                <w:szCs w:val="22"/>
                <w:lang w:val="en-US"/>
              </w:rPr>
              <w:endnoteReference w:id="2"/>
            </w:r>
          </w:p>
          <w:p w14:paraId="423E3E5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68E988E2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2352FAC" w14:textId="77777777" w:rsidR="004B7D91" w:rsidRPr="00166047" w:rsidRDefault="0016604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6047">
              <w:rPr>
                <w:rFonts w:ascii="Arial" w:hAnsi="Arial" w:cs="Arial"/>
                <w:sz w:val="22"/>
                <w:szCs w:val="22"/>
              </w:rPr>
              <w:t xml:space="preserve">The case studies demonstrated </w:t>
            </w:r>
            <w:r w:rsidR="002277B6">
              <w:rPr>
                <w:rFonts w:ascii="Arial" w:hAnsi="Arial" w:cs="Arial"/>
                <w:sz w:val="22"/>
                <w:szCs w:val="22"/>
              </w:rPr>
              <w:t xml:space="preserve">that HEA </w:t>
            </w:r>
            <w:r w:rsidR="0009123D">
              <w:rPr>
                <w:rFonts w:ascii="Arial" w:hAnsi="Arial" w:cs="Arial"/>
                <w:sz w:val="22"/>
                <w:szCs w:val="22"/>
              </w:rPr>
              <w:t>successfully highlighted</w:t>
            </w:r>
            <w:r w:rsidR="002277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5F96">
              <w:rPr>
                <w:rFonts w:ascii="Arial" w:hAnsi="Arial" w:cs="Arial"/>
                <w:sz w:val="22"/>
                <w:szCs w:val="22"/>
              </w:rPr>
              <w:t xml:space="preserve">geographic, ethnic and socioeconomic </w:t>
            </w:r>
            <w:r w:rsidR="002277B6">
              <w:rPr>
                <w:rFonts w:ascii="Arial" w:hAnsi="Arial" w:cs="Arial"/>
                <w:sz w:val="22"/>
                <w:szCs w:val="22"/>
              </w:rPr>
              <w:t xml:space="preserve">inequities and was effective at identifying equity focused </w:t>
            </w:r>
            <w:r w:rsidR="008D7D6A">
              <w:rPr>
                <w:rFonts w:ascii="Arial" w:hAnsi="Arial" w:cs="Arial"/>
                <w:sz w:val="22"/>
                <w:szCs w:val="22"/>
              </w:rPr>
              <w:t xml:space="preserve">improvements. </w:t>
            </w:r>
            <w:r w:rsidR="00297D54">
              <w:rPr>
                <w:rFonts w:ascii="Arial" w:hAnsi="Arial" w:cs="Arial"/>
                <w:sz w:val="22"/>
                <w:szCs w:val="22"/>
              </w:rPr>
              <w:t>Reported s</w:t>
            </w:r>
            <w:r w:rsidR="007512C1">
              <w:rPr>
                <w:rFonts w:ascii="Arial" w:hAnsi="Arial" w:cs="Arial"/>
                <w:sz w:val="22"/>
                <w:szCs w:val="22"/>
              </w:rPr>
              <w:t xml:space="preserve">trengths </w:t>
            </w:r>
            <w:r w:rsidR="003A668B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7512C1">
              <w:rPr>
                <w:rFonts w:ascii="Arial" w:hAnsi="Arial" w:cs="Arial"/>
                <w:sz w:val="22"/>
                <w:szCs w:val="22"/>
              </w:rPr>
              <w:t xml:space="preserve">the emphasis on consumer voice; </w:t>
            </w:r>
            <w:r w:rsidR="00EA5F96">
              <w:rPr>
                <w:rFonts w:ascii="Arial" w:hAnsi="Arial" w:cs="Arial"/>
                <w:sz w:val="22"/>
                <w:szCs w:val="22"/>
              </w:rPr>
              <w:t>support for</w:t>
            </w:r>
            <w:r w:rsidR="00297D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5F96">
              <w:rPr>
                <w:rFonts w:ascii="Arial" w:hAnsi="Arial" w:cs="Arial"/>
                <w:sz w:val="22"/>
                <w:szCs w:val="22"/>
              </w:rPr>
              <w:t xml:space="preserve">Māori health goals, </w:t>
            </w:r>
            <w:r w:rsidR="007512C1">
              <w:rPr>
                <w:rFonts w:ascii="Arial" w:hAnsi="Arial" w:cs="Arial"/>
                <w:sz w:val="22"/>
                <w:szCs w:val="22"/>
              </w:rPr>
              <w:t xml:space="preserve">depersonalisation of issues </w:t>
            </w:r>
            <w:r w:rsidR="008769B0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3111C2">
              <w:rPr>
                <w:rFonts w:ascii="Arial" w:hAnsi="Arial" w:cs="Arial"/>
                <w:sz w:val="22"/>
                <w:szCs w:val="22"/>
              </w:rPr>
              <w:t>critiquing systems</w:t>
            </w:r>
            <w:r w:rsidR="007512C1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0312B0">
              <w:rPr>
                <w:rFonts w:ascii="Arial" w:hAnsi="Arial" w:cs="Arial"/>
                <w:sz w:val="22"/>
                <w:szCs w:val="22"/>
              </w:rPr>
              <w:t xml:space="preserve">use of robust data; </w:t>
            </w:r>
            <w:r w:rsidR="00EA5F96">
              <w:rPr>
                <w:rFonts w:ascii="Arial" w:hAnsi="Arial" w:cs="Arial"/>
                <w:sz w:val="22"/>
                <w:szCs w:val="22"/>
              </w:rPr>
              <w:t xml:space="preserve">systematic </w:t>
            </w:r>
            <w:r w:rsidR="00297D54">
              <w:rPr>
                <w:rFonts w:ascii="Arial" w:hAnsi="Arial" w:cs="Arial"/>
                <w:sz w:val="22"/>
                <w:szCs w:val="22"/>
              </w:rPr>
              <w:t xml:space="preserve">assessment </w:t>
            </w:r>
            <w:r w:rsidR="00EA5F96">
              <w:rPr>
                <w:rFonts w:ascii="Arial" w:hAnsi="Arial" w:cs="Arial"/>
                <w:sz w:val="22"/>
                <w:szCs w:val="22"/>
              </w:rPr>
              <w:t>process</w:t>
            </w:r>
            <w:r w:rsidR="000312B0">
              <w:rPr>
                <w:rFonts w:ascii="Arial" w:hAnsi="Arial" w:cs="Arial"/>
                <w:sz w:val="22"/>
                <w:szCs w:val="22"/>
              </w:rPr>
              <w:t xml:space="preserve"> and accountability for action</w:t>
            </w:r>
            <w:r w:rsidR="00EA5F96">
              <w:rPr>
                <w:rFonts w:ascii="Arial" w:hAnsi="Arial" w:cs="Arial"/>
                <w:sz w:val="22"/>
                <w:szCs w:val="22"/>
              </w:rPr>
              <w:t>.</w:t>
            </w:r>
            <w:r w:rsidR="007512C1">
              <w:rPr>
                <w:rFonts w:ascii="Arial" w:hAnsi="Arial" w:cs="Arial"/>
                <w:sz w:val="22"/>
                <w:szCs w:val="22"/>
              </w:rPr>
              <w:t xml:space="preserve"> Organisational and resourcing barriers were </w:t>
            </w:r>
            <w:r w:rsidR="003A668B">
              <w:rPr>
                <w:rFonts w:ascii="Arial" w:hAnsi="Arial" w:cs="Arial"/>
                <w:sz w:val="22"/>
                <w:szCs w:val="22"/>
              </w:rPr>
              <w:t>key</w:t>
            </w:r>
            <w:r w:rsidR="007512C1">
              <w:rPr>
                <w:rFonts w:ascii="Arial" w:hAnsi="Arial" w:cs="Arial"/>
                <w:sz w:val="22"/>
                <w:szCs w:val="22"/>
              </w:rPr>
              <w:t xml:space="preserve"> challenges identified in undertaking HEA. Equity positive </w:t>
            </w:r>
            <w:r w:rsidR="008769B0">
              <w:rPr>
                <w:rFonts w:ascii="Arial" w:hAnsi="Arial" w:cs="Arial"/>
                <w:sz w:val="22"/>
                <w:szCs w:val="22"/>
              </w:rPr>
              <w:t>changes</w:t>
            </w:r>
            <w:r w:rsidR="007512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5F96">
              <w:rPr>
                <w:rFonts w:ascii="Arial" w:hAnsi="Arial" w:cs="Arial"/>
                <w:sz w:val="22"/>
                <w:szCs w:val="22"/>
              </w:rPr>
              <w:t>were</w:t>
            </w:r>
            <w:r w:rsidR="007512C1">
              <w:rPr>
                <w:rFonts w:ascii="Arial" w:hAnsi="Arial" w:cs="Arial"/>
                <w:sz w:val="22"/>
                <w:szCs w:val="22"/>
              </w:rPr>
              <w:t xml:space="preserve"> reported in all case studies </w:t>
            </w:r>
            <w:r w:rsidR="008769B0">
              <w:rPr>
                <w:rFonts w:ascii="Arial" w:hAnsi="Arial" w:cs="Arial"/>
                <w:sz w:val="22"/>
                <w:szCs w:val="22"/>
              </w:rPr>
              <w:t xml:space="preserve">despite challenges </w:t>
            </w:r>
            <w:r w:rsidR="00273979">
              <w:rPr>
                <w:rFonts w:ascii="Arial" w:hAnsi="Arial" w:cs="Arial"/>
                <w:sz w:val="22"/>
                <w:szCs w:val="22"/>
              </w:rPr>
              <w:t xml:space="preserve">experienced </w:t>
            </w:r>
            <w:r w:rsidR="00297D54">
              <w:rPr>
                <w:rFonts w:ascii="Arial" w:hAnsi="Arial" w:cs="Arial"/>
                <w:sz w:val="22"/>
                <w:szCs w:val="22"/>
              </w:rPr>
              <w:t xml:space="preserve">implementing </w:t>
            </w:r>
            <w:r w:rsidR="003A668B">
              <w:rPr>
                <w:rFonts w:ascii="Arial" w:hAnsi="Arial" w:cs="Arial"/>
                <w:sz w:val="22"/>
                <w:szCs w:val="22"/>
              </w:rPr>
              <w:t xml:space="preserve">HEA </w:t>
            </w:r>
            <w:r w:rsidR="00297D54">
              <w:rPr>
                <w:rFonts w:ascii="Arial" w:hAnsi="Arial" w:cs="Arial"/>
                <w:sz w:val="22"/>
                <w:szCs w:val="22"/>
              </w:rPr>
              <w:t>recommendations</w:t>
            </w:r>
            <w:r w:rsidR="007512C1">
              <w:rPr>
                <w:rFonts w:ascii="Arial" w:hAnsi="Arial" w:cs="Arial"/>
                <w:sz w:val="22"/>
                <w:szCs w:val="22"/>
              </w:rPr>
              <w:t>. Participants reported a stronger equity focus in ongoing planning and prioritisation</w:t>
            </w:r>
            <w:r w:rsidR="00FD2FCA">
              <w:rPr>
                <w:rFonts w:ascii="Arial" w:hAnsi="Arial" w:cs="Arial"/>
                <w:sz w:val="22"/>
                <w:szCs w:val="22"/>
              </w:rPr>
              <w:t>.</w:t>
            </w:r>
            <w:r w:rsidR="00297D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11C2">
              <w:rPr>
                <w:rFonts w:ascii="Arial" w:hAnsi="Arial" w:cs="Arial"/>
                <w:sz w:val="22"/>
                <w:szCs w:val="22"/>
              </w:rPr>
              <w:t>T</w:t>
            </w:r>
            <w:r w:rsidR="00FD2FCA">
              <w:rPr>
                <w:rFonts w:ascii="Arial" w:hAnsi="Arial" w:cs="Arial"/>
                <w:sz w:val="22"/>
                <w:szCs w:val="22"/>
              </w:rPr>
              <w:t>he study concluded that</w:t>
            </w:r>
            <w:r w:rsidR="008D7D6A">
              <w:rPr>
                <w:rFonts w:ascii="Arial" w:hAnsi="Arial" w:cs="Arial"/>
                <w:sz w:val="22"/>
                <w:szCs w:val="22"/>
              </w:rPr>
              <w:t xml:space="preserve"> HEA</w:t>
            </w:r>
            <w:r w:rsidR="00C84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2FCA">
              <w:rPr>
                <w:rFonts w:ascii="Arial" w:hAnsi="Arial" w:cs="Arial"/>
                <w:sz w:val="22"/>
                <w:szCs w:val="22"/>
              </w:rPr>
              <w:t>was</w:t>
            </w:r>
            <w:r w:rsidR="008D7D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2FCA">
              <w:rPr>
                <w:rFonts w:ascii="Arial" w:hAnsi="Arial" w:cs="Arial"/>
                <w:sz w:val="22"/>
                <w:szCs w:val="22"/>
              </w:rPr>
              <w:t>successful at</w:t>
            </w:r>
            <w:r w:rsidR="008D7D6A">
              <w:rPr>
                <w:rFonts w:ascii="Arial" w:hAnsi="Arial" w:cs="Arial"/>
                <w:sz w:val="22"/>
                <w:szCs w:val="22"/>
              </w:rPr>
              <w:t xml:space="preserve"> improving the consideration of equity in planning. </w:t>
            </w:r>
          </w:p>
          <w:p w14:paraId="2D72D711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B16B23" w14:textId="77777777" w:rsidR="00C978A6" w:rsidRPr="00D57E8F" w:rsidRDefault="004B7D91" w:rsidP="005E65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1667EDE4" w14:textId="77777777" w:rsidR="004B7D91" w:rsidRDefault="005E65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>HEA is a proven approach for systematically considering inequities in health planning</w:t>
            </w:r>
            <w:r w:rsidR="003111C2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 </w:t>
            </w:r>
            <w:r w:rsidR="000312B0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A decade on from </w:t>
            </w:r>
            <w:r w:rsidR="00280A7F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>its</w:t>
            </w:r>
            <w:r w:rsidR="000312B0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 development, 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>he HEAT Tool remains an important mechanism for drawing attention to existing</w:t>
            </w:r>
            <w:r w:rsidR="000312B0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 health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 ine</w:t>
            </w:r>
            <w:r w:rsidR="003A668B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quities </w:t>
            </w:r>
            <w:r w:rsidR="003111C2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and advocating for an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equity agenda by decision makers. By challenging the structures and practices that maintain inequities for Māori, the HEAT Tool may </w:t>
            </w:r>
            <w:r w:rsidR="00114AAC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support mainstream health organisations to operationalise Te Tiriti o Waitangi and offer 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platform for transforming </w:t>
            </w:r>
            <w:r w:rsidRPr="00166047">
              <w:rPr>
                <w:rFonts w:ascii="Arial" w:hAnsi="Arial" w:cs="Arial"/>
                <w:sz w:val="22"/>
                <w:szCs w:val="22"/>
              </w:rPr>
              <w:t>institutional racism and privilege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4AAC">
              <w:rPr>
                <w:rFonts w:ascii="Arial" w:hAnsi="Arial" w:cs="Arial"/>
                <w:sz w:val="22"/>
                <w:szCs w:val="22"/>
              </w:rPr>
              <w:t>in the New Zealand health system.</w:t>
            </w:r>
            <w:r w:rsidR="006B5173">
              <w:rPr>
                <w:rFonts w:ascii="Arial" w:hAnsi="Arial" w:cs="Arial"/>
                <w:sz w:val="22"/>
                <w:szCs w:val="22"/>
              </w:rPr>
              <w:t xml:space="preserve"> The implications from this case study for equity initiatives in other jurisdictions will be explored.</w:t>
            </w:r>
          </w:p>
          <w:p w14:paraId="2C1E04F1" w14:textId="77777777" w:rsidR="001B7404" w:rsidRDefault="001B740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B06579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08319738" w14:textId="77777777" w:rsidR="00DA7A71" w:rsidRPr="00666DB4" w:rsidRDefault="00D57E8F" w:rsidP="008D7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7E8F">
              <w:rPr>
                <w:rFonts w:ascii="Arial" w:hAnsi="Arial" w:cs="Arial"/>
                <w:sz w:val="22"/>
                <w:szCs w:val="22"/>
              </w:rPr>
              <w:t>Health e</w:t>
            </w:r>
            <w:r>
              <w:rPr>
                <w:rFonts w:ascii="Arial" w:hAnsi="Arial" w:cs="Arial"/>
                <w:sz w:val="22"/>
                <w:szCs w:val="22"/>
              </w:rPr>
              <w:t>quity, equity, inequities, HEAT, Māori health.</w:t>
            </w:r>
          </w:p>
        </w:tc>
      </w:tr>
    </w:tbl>
    <w:p w14:paraId="4A64B489" w14:textId="77777777" w:rsidR="00490208" w:rsidRDefault="00490208" w:rsidP="004C45A1"/>
    <w:sectPr w:rsidR="00490208">
      <w:endnotePr>
        <w:numFmt w:val="decimal"/>
      </w:endnote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77B88" w14:textId="77777777" w:rsidR="008A44CF" w:rsidRDefault="008A44CF" w:rsidP="00391D30">
      <w:r>
        <w:separator/>
      </w:r>
    </w:p>
  </w:endnote>
  <w:endnote w:type="continuationSeparator" w:id="0">
    <w:p w14:paraId="45D7DBBA" w14:textId="77777777" w:rsidR="008A44CF" w:rsidRDefault="008A44CF" w:rsidP="00391D30">
      <w:r>
        <w:continuationSeparator/>
      </w:r>
    </w:p>
  </w:endnote>
  <w:endnote w:id="1">
    <w:p w14:paraId="17183A76" w14:textId="77777777" w:rsidR="009777B4" w:rsidRPr="009777B4" w:rsidRDefault="009777B4">
      <w:pPr>
        <w:pStyle w:val="EndnoteText"/>
        <w:rPr>
          <w:rFonts w:ascii="Arial" w:hAnsi="Arial"/>
          <w:sz w:val="18"/>
          <w:szCs w:val="18"/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777B4">
        <w:rPr>
          <w:rFonts w:ascii="Arial" w:hAnsi="Arial" w:cs="Arial"/>
          <w:sz w:val="18"/>
          <w:szCs w:val="18"/>
          <w:lang w:val="en-US"/>
        </w:rPr>
        <w:t>Signal, L., Martin, J., Cram, F., and Robson, B. (2008) The Health Equity Assessment Tool: A User’s Guide. Wellington: Ministry of Health</w:t>
      </w:r>
    </w:p>
  </w:endnote>
  <w:endnote w:id="2">
    <w:p w14:paraId="17877B8A" w14:textId="77777777" w:rsidR="001B7404" w:rsidRPr="001B7404" w:rsidRDefault="001B7404">
      <w:pPr>
        <w:pStyle w:val="EndnoteText"/>
        <w:rPr>
          <w:lang w:val="en-US"/>
        </w:rPr>
      </w:pPr>
      <w:r w:rsidRPr="009777B4">
        <w:rPr>
          <w:rStyle w:val="EndnoteReference"/>
          <w:rFonts w:ascii="Arial" w:hAnsi="Arial"/>
          <w:sz w:val="18"/>
          <w:szCs w:val="18"/>
        </w:rPr>
        <w:endnoteRef/>
      </w:r>
      <w:r w:rsidRPr="009777B4">
        <w:rPr>
          <w:rFonts w:ascii="Arial" w:hAnsi="Arial"/>
          <w:sz w:val="18"/>
          <w:szCs w:val="18"/>
        </w:rPr>
        <w:t xml:space="preserve"> Harris-</w:t>
      </w:r>
      <w:proofErr w:type="spellStart"/>
      <w:r w:rsidRPr="009777B4">
        <w:rPr>
          <w:rFonts w:ascii="Arial" w:hAnsi="Arial"/>
          <w:sz w:val="18"/>
          <w:szCs w:val="18"/>
        </w:rPr>
        <w:t>Roxas</w:t>
      </w:r>
      <w:proofErr w:type="spellEnd"/>
      <w:r w:rsidRPr="009777B4">
        <w:rPr>
          <w:rFonts w:ascii="Arial" w:hAnsi="Arial"/>
          <w:sz w:val="18"/>
          <w:szCs w:val="18"/>
        </w:rPr>
        <w:t xml:space="preserve">, B., Haigh, F., </w:t>
      </w:r>
      <w:proofErr w:type="spellStart"/>
      <w:r w:rsidRPr="009777B4">
        <w:rPr>
          <w:rFonts w:ascii="Arial" w:hAnsi="Arial"/>
          <w:sz w:val="18"/>
          <w:szCs w:val="18"/>
        </w:rPr>
        <w:t>Travaglia</w:t>
      </w:r>
      <w:proofErr w:type="spellEnd"/>
      <w:r w:rsidRPr="009777B4">
        <w:rPr>
          <w:rFonts w:ascii="Arial" w:hAnsi="Arial"/>
          <w:sz w:val="18"/>
          <w:szCs w:val="18"/>
        </w:rPr>
        <w:t xml:space="preserve">, J., &amp; Kemp, L. (2014). Evaluating the impact of equity focused health impact assessment on health service planning: three case studies. </w:t>
      </w:r>
      <w:r w:rsidRPr="009777B4">
        <w:rPr>
          <w:rFonts w:ascii="Arial" w:hAnsi="Arial"/>
          <w:i/>
          <w:iCs/>
          <w:sz w:val="18"/>
          <w:szCs w:val="18"/>
        </w:rPr>
        <w:t>BMC Health Services Research</w:t>
      </w:r>
      <w:r w:rsidRPr="009777B4">
        <w:rPr>
          <w:rFonts w:ascii="Arial" w:hAnsi="Arial"/>
          <w:sz w:val="18"/>
          <w:szCs w:val="18"/>
        </w:rPr>
        <w:t xml:space="preserve">, </w:t>
      </w:r>
      <w:r w:rsidRPr="009777B4">
        <w:rPr>
          <w:rFonts w:ascii="Arial" w:hAnsi="Arial"/>
          <w:i/>
          <w:iCs/>
          <w:sz w:val="18"/>
          <w:szCs w:val="18"/>
        </w:rPr>
        <w:t>14</w:t>
      </w:r>
      <w:r w:rsidRPr="009777B4">
        <w:rPr>
          <w:rFonts w:ascii="Arial" w:hAnsi="Arial"/>
          <w:sz w:val="18"/>
          <w:szCs w:val="18"/>
        </w:rPr>
        <w:t>, 371. http://doi.org/10.1186/1472-6963-14-371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EC144" w14:textId="77777777" w:rsidR="008A44CF" w:rsidRDefault="008A44CF" w:rsidP="00391D30">
      <w:r>
        <w:separator/>
      </w:r>
    </w:p>
  </w:footnote>
  <w:footnote w:type="continuationSeparator" w:id="0">
    <w:p w14:paraId="2821E2B4" w14:textId="77777777" w:rsidR="008A44CF" w:rsidRDefault="008A44CF" w:rsidP="00391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SwMLG0NLcwsjA1NDFT0lEKTi0uzszPAykwrAUAjByMvSwAAAA="/>
    <w:docVar w:name="dgnword-docGUID" w:val="{95557876-9674-452F-975F-63D2BED13F4F}"/>
    <w:docVar w:name="dgnword-eventsink" w:val="160375435024"/>
  </w:docVars>
  <w:rsids>
    <w:rsidRoot w:val="00663BFF"/>
    <w:rsid w:val="00026E39"/>
    <w:rsid w:val="000312B0"/>
    <w:rsid w:val="0003525D"/>
    <w:rsid w:val="00077988"/>
    <w:rsid w:val="0008349E"/>
    <w:rsid w:val="00083B18"/>
    <w:rsid w:val="0009123D"/>
    <w:rsid w:val="000C05CE"/>
    <w:rsid w:val="00114AAC"/>
    <w:rsid w:val="00131D1E"/>
    <w:rsid w:val="00166047"/>
    <w:rsid w:val="001B7404"/>
    <w:rsid w:val="001B75F5"/>
    <w:rsid w:val="001C3A37"/>
    <w:rsid w:val="001F1E2B"/>
    <w:rsid w:val="00211765"/>
    <w:rsid w:val="00213F27"/>
    <w:rsid w:val="002277B6"/>
    <w:rsid w:val="00230B21"/>
    <w:rsid w:val="00234EAA"/>
    <w:rsid w:val="00242808"/>
    <w:rsid w:val="00273979"/>
    <w:rsid w:val="00280A7F"/>
    <w:rsid w:val="00294265"/>
    <w:rsid w:val="00297D54"/>
    <w:rsid w:val="002A1DB3"/>
    <w:rsid w:val="002B1BA4"/>
    <w:rsid w:val="002B7FC8"/>
    <w:rsid w:val="002F34DB"/>
    <w:rsid w:val="003111C2"/>
    <w:rsid w:val="003166E5"/>
    <w:rsid w:val="00317FFE"/>
    <w:rsid w:val="00363AF7"/>
    <w:rsid w:val="00387548"/>
    <w:rsid w:val="00391D30"/>
    <w:rsid w:val="003A6236"/>
    <w:rsid w:val="003A668B"/>
    <w:rsid w:val="003B15A7"/>
    <w:rsid w:val="003F596D"/>
    <w:rsid w:val="004001B6"/>
    <w:rsid w:val="00490208"/>
    <w:rsid w:val="004B5B95"/>
    <w:rsid w:val="004B7D91"/>
    <w:rsid w:val="004C45A1"/>
    <w:rsid w:val="004E345D"/>
    <w:rsid w:val="00564331"/>
    <w:rsid w:val="00590824"/>
    <w:rsid w:val="005E654E"/>
    <w:rsid w:val="005F7DC7"/>
    <w:rsid w:val="00620181"/>
    <w:rsid w:val="006605DB"/>
    <w:rsid w:val="00663BFF"/>
    <w:rsid w:val="00665AAB"/>
    <w:rsid w:val="00666DB4"/>
    <w:rsid w:val="006906C0"/>
    <w:rsid w:val="006B5173"/>
    <w:rsid w:val="006C6E32"/>
    <w:rsid w:val="0070252B"/>
    <w:rsid w:val="00704766"/>
    <w:rsid w:val="00714C46"/>
    <w:rsid w:val="007512C1"/>
    <w:rsid w:val="007A2A9C"/>
    <w:rsid w:val="007A64D8"/>
    <w:rsid w:val="007E61BA"/>
    <w:rsid w:val="0080649D"/>
    <w:rsid w:val="00810E05"/>
    <w:rsid w:val="008233B5"/>
    <w:rsid w:val="0082392D"/>
    <w:rsid w:val="00857EC1"/>
    <w:rsid w:val="008622A0"/>
    <w:rsid w:val="008769B0"/>
    <w:rsid w:val="008874BF"/>
    <w:rsid w:val="008A44CF"/>
    <w:rsid w:val="008B1601"/>
    <w:rsid w:val="008C05AC"/>
    <w:rsid w:val="008C05C1"/>
    <w:rsid w:val="008D7D6A"/>
    <w:rsid w:val="00932377"/>
    <w:rsid w:val="009579B1"/>
    <w:rsid w:val="009777B4"/>
    <w:rsid w:val="009B7881"/>
    <w:rsid w:val="00A112C8"/>
    <w:rsid w:val="00A1780F"/>
    <w:rsid w:val="00A217CC"/>
    <w:rsid w:val="00AA1598"/>
    <w:rsid w:val="00AA5B46"/>
    <w:rsid w:val="00AB42C9"/>
    <w:rsid w:val="00AD335E"/>
    <w:rsid w:val="00B12CD1"/>
    <w:rsid w:val="00B20967"/>
    <w:rsid w:val="00B766BF"/>
    <w:rsid w:val="00BC5CBE"/>
    <w:rsid w:val="00C211D2"/>
    <w:rsid w:val="00C73E89"/>
    <w:rsid w:val="00C84712"/>
    <w:rsid w:val="00C84789"/>
    <w:rsid w:val="00C978A6"/>
    <w:rsid w:val="00CA0DE6"/>
    <w:rsid w:val="00CB2597"/>
    <w:rsid w:val="00CC5CF2"/>
    <w:rsid w:val="00CD0335"/>
    <w:rsid w:val="00CE496D"/>
    <w:rsid w:val="00CE5D57"/>
    <w:rsid w:val="00D57E8F"/>
    <w:rsid w:val="00D71EFE"/>
    <w:rsid w:val="00DA45EE"/>
    <w:rsid w:val="00DA7A71"/>
    <w:rsid w:val="00DC2C64"/>
    <w:rsid w:val="00DD77D7"/>
    <w:rsid w:val="00DE6D44"/>
    <w:rsid w:val="00E0479B"/>
    <w:rsid w:val="00E20FB6"/>
    <w:rsid w:val="00E36AD7"/>
    <w:rsid w:val="00E379B4"/>
    <w:rsid w:val="00E458B1"/>
    <w:rsid w:val="00E45AF0"/>
    <w:rsid w:val="00E94180"/>
    <w:rsid w:val="00EA5F96"/>
    <w:rsid w:val="00F16B61"/>
    <w:rsid w:val="00F407AD"/>
    <w:rsid w:val="00F85F90"/>
    <w:rsid w:val="00F86A0C"/>
    <w:rsid w:val="00FB626D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D54C8"/>
  <w15:docId w15:val="{4C3FE858-35B3-4B9E-8930-911B4961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391D30"/>
    <w:rPr>
      <w:rFonts w:asciiTheme="minorHAnsi" w:hAnsiTheme="minorHAnsi"/>
      <w:sz w:val="20"/>
      <w:szCs w:val="20"/>
      <w:lang w:val="en-AU"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91D30"/>
    <w:rPr>
      <w:rFonts w:asciiTheme="minorHAnsi" w:hAnsiTheme="minorHAnsi"/>
      <w:lang w:val="en-AU" w:eastAsia="en-AU"/>
    </w:rPr>
  </w:style>
  <w:style w:type="character" w:styleId="EndnoteReference">
    <w:name w:val="endnote reference"/>
    <w:uiPriority w:val="99"/>
    <w:unhideWhenUsed/>
    <w:rsid w:val="00391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microsoft.com/office/2006/metadata/properties"/>
    <ds:schemaRef ds:uri="http://purl.org/dc/dcmitype/"/>
    <ds:schemaRef ds:uri="9c8a2b7b-0bee-4c48-b0a6-23db8982d3b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911e96c-4cc4-42d5-8e43-f93924cf6a0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7B749B-A992-4054-90CA-52B718AE3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02430-9AFF-40B8-8DCF-149DC5D4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2018-09-02T03:36:00Z</dcterms:created>
  <dcterms:modified xsi:type="dcterms:W3CDTF">2018-09-02T03:36:00Z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