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B319" w14:textId="479B9F8F" w:rsidR="00F106DD" w:rsidRDefault="00F106DD" w:rsidP="0051406D">
      <w:pPr>
        <w:rPr>
          <w:b/>
          <w:bCs/>
        </w:rPr>
      </w:pPr>
      <w:r>
        <w:rPr>
          <w:b/>
          <w:bCs/>
        </w:rPr>
        <w:t xml:space="preserve"> </w:t>
      </w:r>
    </w:p>
    <w:tbl>
      <w:tblPr>
        <w:tblStyle w:val="TableGrid"/>
        <w:tblW w:w="8676" w:type="dxa"/>
        <w:tblInd w:w="108" w:type="dxa"/>
        <w:tblLayout w:type="fixed"/>
        <w:tblLook w:val="01E0" w:firstRow="1" w:lastRow="1" w:firstColumn="1" w:lastColumn="1" w:noHBand="0" w:noVBand="0"/>
      </w:tblPr>
      <w:tblGrid>
        <w:gridCol w:w="8676"/>
      </w:tblGrid>
      <w:tr w:rsidR="00C8423A" w:rsidRPr="0003525D" w14:paraId="3CA33060" w14:textId="77777777" w:rsidTr="00010372">
        <w:tc>
          <w:tcPr>
            <w:tcW w:w="8676" w:type="dxa"/>
            <w:shd w:val="clear" w:color="auto" w:fill="F2F2F2" w:themeFill="background1" w:themeFillShade="F2"/>
          </w:tcPr>
          <w:p w14:paraId="2003E176" w14:textId="6FC0A1A1" w:rsidR="00C8423A" w:rsidRPr="0051406D" w:rsidRDefault="0051406D" w:rsidP="00706DED">
            <w:pPr>
              <w:jc w:val="both"/>
              <w:rPr>
                <w:rFonts w:ascii="Arial" w:hAnsi="Arial" w:cs="Arial"/>
                <w:bCs/>
                <w:i/>
                <w:iCs/>
                <w:sz w:val="22"/>
                <w:szCs w:val="22"/>
              </w:rPr>
            </w:pPr>
            <w:r w:rsidRPr="0051406D">
              <w:rPr>
                <w:rFonts w:ascii="Arial" w:hAnsi="Arial" w:cs="Arial"/>
                <w:bCs/>
                <w:i/>
                <w:iCs/>
                <w:sz w:val="22"/>
                <w:szCs w:val="22"/>
              </w:rPr>
              <w:t>Paper</w:t>
            </w:r>
          </w:p>
          <w:p w14:paraId="4FED29D5" w14:textId="03E5A3F5" w:rsidR="00C8423A" w:rsidRPr="0051406D" w:rsidRDefault="00387629" w:rsidP="00706DED">
            <w:pPr>
              <w:jc w:val="both"/>
              <w:rPr>
                <w:rFonts w:ascii="Arial" w:hAnsi="Arial" w:cs="Arial"/>
                <w:b/>
                <w:bCs/>
                <w:sz w:val="22"/>
                <w:szCs w:val="22"/>
              </w:rPr>
            </w:pPr>
            <w:bookmarkStart w:id="0" w:name="OLE_LINK36"/>
            <w:r w:rsidRPr="0051406D">
              <w:rPr>
                <w:rFonts w:ascii="Arial" w:hAnsi="Arial" w:cs="Arial"/>
                <w:b/>
                <w:bCs/>
                <w:sz w:val="22"/>
                <w:szCs w:val="22"/>
              </w:rPr>
              <w:t xml:space="preserve">Climate Adaptation Heuristics: A hinder or </w:t>
            </w:r>
            <w:r w:rsidR="00E20146" w:rsidRPr="0051406D">
              <w:rPr>
                <w:rFonts w:ascii="Arial" w:hAnsi="Arial" w:cs="Arial"/>
                <w:b/>
                <w:bCs/>
                <w:sz w:val="22"/>
                <w:szCs w:val="22"/>
              </w:rPr>
              <w:t>advantage</w:t>
            </w:r>
            <w:r w:rsidRPr="0051406D">
              <w:rPr>
                <w:rFonts w:ascii="Arial" w:hAnsi="Arial" w:cs="Arial"/>
                <w:b/>
                <w:bCs/>
                <w:sz w:val="22"/>
                <w:szCs w:val="22"/>
              </w:rPr>
              <w:t xml:space="preserve"> in driving effective adaptation decision</w:t>
            </w:r>
            <w:r w:rsidR="00E20146" w:rsidRPr="0051406D">
              <w:rPr>
                <w:rFonts w:ascii="Arial" w:hAnsi="Arial" w:cs="Arial"/>
                <w:b/>
                <w:bCs/>
                <w:sz w:val="22"/>
                <w:szCs w:val="22"/>
              </w:rPr>
              <w:t>s</w:t>
            </w:r>
            <w:r w:rsidRPr="0051406D">
              <w:rPr>
                <w:rFonts w:ascii="Arial" w:hAnsi="Arial" w:cs="Arial"/>
                <w:b/>
                <w:bCs/>
                <w:sz w:val="22"/>
                <w:szCs w:val="22"/>
              </w:rPr>
              <w:t xml:space="preserve">? </w:t>
            </w:r>
          </w:p>
          <w:bookmarkEnd w:id="0"/>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010372">
        <w:trPr>
          <w:trHeight w:val="3124"/>
        </w:trPr>
        <w:tc>
          <w:tcPr>
            <w:tcW w:w="8676" w:type="dxa"/>
          </w:tcPr>
          <w:p w14:paraId="65A278DB" w14:textId="77777777" w:rsidR="00C8423A" w:rsidRDefault="00C8423A" w:rsidP="00706DED">
            <w:pPr>
              <w:jc w:val="both"/>
              <w:rPr>
                <w:rFonts w:ascii="Arial" w:hAnsi="Arial" w:cs="Arial"/>
                <w:b/>
                <w:sz w:val="22"/>
                <w:szCs w:val="22"/>
              </w:rPr>
            </w:pPr>
            <w:bookmarkStart w:id="1" w:name="OLE_LINK10"/>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21DFC56" w14:textId="77777777" w:rsidR="00DA3A66" w:rsidRDefault="00DA3A66" w:rsidP="00706DED">
            <w:pPr>
              <w:jc w:val="both"/>
              <w:rPr>
                <w:rFonts w:ascii="Arial" w:hAnsi="Arial" w:cs="Arial"/>
                <w:b/>
                <w:sz w:val="22"/>
                <w:szCs w:val="22"/>
              </w:rPr>
            </w:pPr>
          </w:p>
          <w:p w14:paraId="32E9A083" w14:textId="12376593" w:rsidR="00DA3A66" w:rsidRPr="002E0A38" w:rsidRDefault="002E0A38" w:rsidP="002E0A38">
            <w:pPr>
              <w:rPr>
                <w:rFonts w:ascii="Arial" w:hAnsi="Arial" w:cs="Arial"/>
                <w:color w:val="000000" w:themeColor="text1"/>
                <w:sz w:val="22"/>
                <w:szCs w:val="22"/>
              </w:rPr>
            </w:pPr>
            <w:r w:rsidRPr="002E0A38">
              <w:rPr>
                <w:rFonts w:ascii="Arial" w:hAnsi="Arial" w:cs="Arial"/>
                <w:color w:val="000000" w:themeColor="text1"/>
                <w:sz w:val="22"/>
                <w:szCs w:val="22"/>
              </w:rPr>
              <w:t>Each science and policy domain has its own principles that guide the choices and decisions scientists and practitioners make in a particular field (</w:t>
            </w:r>
            <w:proofErr w:type="spellStart"/>
            <w:r w:rsidRPr="002E0A38">
              <w:rPr>
                <w:rFonts w:ascii="Arial" w:hAnsi="Arial" w:cs="Arial"/>
                <w:color w:val="000000" w:themeColor="text1"/>
                <w:sz w:val="22"/>
                <w:szCs w:val="22"/>
              </w:rPr>
              <w:t>Ravetz</w:t>
            </w:r>
            <w:proofErr w:type="spellEnd"/>
            <w:r w:rsidRPr="002E0A38">
              <w:rPr>
                <w:rFonts w:ascii="Arial" w:hAnsi="Arial" w:cs="Arial"/>
                <w:color w:val="000000" w:themeColor="text1"/>
                <w:sz w:val="22"/>
                <w:szCs w:val="22"/>
              </w:rPr>
              <w:t xml:space="preserve">, 1972). </w:t>
            </w:r>
            <w:r w:rsidR="00DA3A66" w:rsidRPr="002E0A38">
              <w:rPr>
                <w:rFonts w:ascii="Arial" w:hAnsi="Arial" w:cs="Arial"/>
                <w:sz w:val="22"/>
                <w:szCs w:val="22"/>
              </w:rPr>
              <w:t>Climate adaptation heuristics are rules of thumb that have developed over time to explain what climate change adaptation is and means</w:t>
            </w:r>
            <w:r w:rsidR="007541DE" w:rsidRPr="002E0A38">
              <w:rPr>
                <w:rFonts w:ascii="Arial" w:hAnsi="Arial" w:cs="Arial"/>
                <w:sz w:val="22"/>
                <w:szCs w:val="22"/>
              </w:rPr>
              <w:t xml:space="preserve"> (Nalau et al., 2015)</w:t>
            </w:r>
            <w:r w:rsidR="00DA3A66" w:rsidRPr="002E0A38">
              <w:rPr>
                <w:rFonts w:ascii="Arial" w:hAnsi="Arial" w:cs="Arial"/>
                <w:sz w:val="22"/>
                <w:szCs w:val="22"/>
              </w:rPr>
              <w:t>. For example, many advocate that adaptation is a local issue and should be decided by local communities whereas others see adaptation as regional or transboundary</w:t>
            </w:r>
            <w:r w:rsidR="00FF2B7D" w:rsidRPr="002E0A38">
              <w:rPr>
                <w:rFonts w:ascii="Arial" w:hAnsi="Arial" w:cs="Arial"/>
                <w:sz w:val="22"/>
                <w:szCs w:val="22"/>
              </w:rPr>
              <w:t xml:space="preserve"> (Nalau et al., 2021)</w:t>
            </w:r>
            <w:r w:rsidR="00DA3A66" w:rsidRPr="002E0A38">
              <w:rPr>
                <w:rFonts w:ascii="Arial" w:hAnsi="Arial" w:cs="Arial"/>
                <w:sz w:val="22"/>
                <w:szCs w:val="22"/>
              </w:rPr>
              <w:t>. While adaptation heuristics are useful in enabling decision-making on what level particular decisions should be made, if they are faulty, they can also significantly hinder our efforts to adapt</w:t>
            </w:r>
            <w:r w:rsidR="00CD6780" w:rsidRPr="002E0A38">
              <w:rPr>
                <w:rFonts w:ascii="Arial" w:hAnsi="Arial" w:cs="Arial"/>
                <w:sz w:val="22"/>
                <w:szCs w:val="22"/>
              </w:rPr>
              <w:t xml:space="preserve"> (Siders and P</w:t>
            </w:r>
            <w:r w:rsidR="00756B9A" w:rsidRPr="002E0A38">
              <w:rPr>
                <w:rFonts w:ascii="Arial" w:hAnsi="Arial" w:cs="Arial"/>
                <w:sz w:val="22"/>
                <w:szCs w:val="22"/>
              </w:rPr>
              <w:t>ie</w:t>
            </w:r>
            <w:r w:rsidR="00CD6780" w:rsidRPr="002E0A38">
              <w:rPr>
                <w:rFonts w:ascii="Arial" w:hAnsi="Arial" w:cs="Arial"/>
                <w:sz w:val="22"/>
                <w:szCs w:val="22"/>
              </w:rPr>
              <w:t>rce, 2021)</w:t>
            </w:r>
            <w:r w:rsidR="00DA3A66" w:rsidRPr="002E0A38">
              <w:rPr>
                <w:rFonts w:ascii="Arial" w:hAnsi="Arial" w:cs="Arial"/>
                <w:sz w:val="22"/>
                <w:szCs w:val="22"/>
              </w:rPr>
              <w:t xml:space="preserve">.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9934E88" w14:textId="77777777" w:rsidR="00E70556" w:rsidRDefault="00E70556" w:rsidP="00706DED">
            <w:pPr>
              <w:jc w:val="both"/>
              <w:rPr>
                <w:rFonts w:ascii="Arial" w:hAnsi="Arial" w:cs="Arial"/>
                <w:b/>
                <w:sz w:val="22"/>
                <w:szCs w:val="22"/>
              </w:rPr>
            </w:pPr>
          </w:p>
          <w:p w14:paraId="1B377A6D" w14:textId="796E948C" w:rsidR="00E70556" w:rsidRDefault="00E70556" w:rsidP="00706DED">
            <w:pPr>
              <w:jc w:val="both"/>
              <w:rPr>
                <w:rFonts w:ascii="Arial" w:hAnsi="Arial" w:cs="Arial"/>
                <w:b/>
                <w:sz w:val="22"/>
                <w:szCs w:val="22"/>
              </w:rPr>
            </w:pPr>
            <w:r>
              <w:rPr>
                <w:rFonts w:ascii="Arial" w:hAnsi="Arial" w:cs="Arial"/>
                <w:sz w:val="22"/>
                <w:szCs w:val="22"/>
              </w:rPr>
              <w:t>This presentation discusses the evolution of adaptation science and heuristics, examines the diversity of heuristics in use, and also pinpoints to their strengths and weaknesses. It seeks to engage</w:t>
            </w:r>
            <w:r w:rsidR="00D97420">
              <w:rPr>
                <w:rFonts w:ascii="Arial" w:hAnsi="Arial" w:cs="Arial"/>
                <w:sz w:val="22"/>
                <w:szCs w:val="22"/>
              </w:rPr>
              <w:t xml:space="preserve"> the audience</w:t>
            </w:r>
            <w:r>
              <w:rPr>
                <w:rFonts w:ascii="Arial" w:hAnsi="Arial" w:cs="Arial"/>
                <w:sz w:val="22"/>
                <w:szCs w:val="22"/>
              </w:rPr>
              <w:t xml:space="preserve"> in critical thinking in how we think about and make decisions on adaptation.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888F034" w14:textId="77777777" w:rsidR="00E70556" w:rsidRDefault="00E70556" w:rsidP="00706DED">
            <w:pPr>
              <w:jc w:val="both"/>
              <w:rPr>
                <w:rFonts w:ascii="Arial" w:hAnsi="Arial" w:cs="Arial"/>
                <w:b/>
                <w:sz w:val="22"/>
                <w:szCs w:val="22"/>
              </w:rPr>
            </w:pPr>
          </w:p>
          <w:p w14:paraId="444C5B34" w14:textId="75F9FC99" w:rsidR="00E70556" w:rsidRPr="00E64F8C" w:rsidRDefault="00B93324" w:rsidP="00706DED">
            <w:pPr>
              <w:jc w:val="both"/>
              <w:rPr>
                <w:rFonts w:ascii="Arial" w:hAnsi="Arial" w:cs="Arial"/>
                <w:bCs/>
                <w:sz w:val="22"/>
                <w:szCs w:val="22"/>
              </w:rPr>
            </w:pPr>
            <w:r w:rsidRPr="00E64F8C">
              <w:rPr>
                <w:rFonts w:ascii="Arial" w:hAnsi="Arial" w:cs="Arial"/>
                <w:bCs/>
                <w:sz w:val="22"/>
                <w:szCs w:val="22"/>
              </w:rPr>
              <w:t xml:space="preserve">The </w:t>
            </w:r>
            <w:r w:rsidR="00D97420" w:rsidRPr="00E64F8C">
              <w:rPr>
                <w:rFonts w:ascii="Arial" w:hAnsi="Arial" w:cs="Arial"/>
                <w:bCs/>
                <w:sz w:val="22"/>
                <w:szCs w:val="22"/>
              </w:rPr>
              <w:t xml:space="preserve">methods included </w:t>
            </w:r>
            <w:r w:rsidR="00ED0B44" w:rsidRPr="00E64F8C">
              <w:rPr>
                <w:rFonts w:ascii="Arial" w:hAnsi="Arial" w:cs="Arial"/>
                <w:bCs/>
                <w:sz w:val="22"/>
                <w:szCs w:val="22"/>
              </w:rPr>
              <w:t xml:space="preserve">a </w:t>
            </w:r>
            <w:r w:rsidR="00D97420" w:rsidRPr="00E64F8C">
              <w:rPr>
                <w:rFonts w:ascii="Arial" w:hAnsi="Arial" w:cs="Arial"/>
                <w:bCs/>
                <w:sz w:val="22"/>
                <w:szCs w:val="22"/>
              </w:rPr>
              <w:t xml:space="preserve">literature review and 25 interviews with global adaptation experts across diverse sectors. </w:t>
            </w:r>
            <w:r w:rsidR="00E64F8C" w:rsidRPr="00E64F8C">
              <w:rPr>
                <w:rFonts w:ascii="Arial" w:hAnsi="Arial" w:cs="Arial"/>
                <w:sz w:val="22"/>
                <w:szCs w:val="22"/>
              </w:rPr>
              <w:t>The coding process was done with NVivo 12 and used both top-down (predetermined coding categories) and bottom-up (inductive data-driven codes from interviews) that was used to structure the code categories (Fereday and Muir-</w:t>
            </w:r>
            <w:proofErr w:type="spellStart"/>
            <w:r w:rsidR="00E64F8C" w:rsidRPr="00E64F8C">
              <w:rPr>
                <w:rFonts w:ascii="Arial" w:hAnsi="Arial" w:cs="Arial"/>
                <w:sz w:val="22"/>
                <w:szCs w:val="22"/>
              </w:rPr>
              <w:t>cochrane</w:t>
            </w:r>
            <w:proofErr w:type="spellEnd"/>
            <w:r w:rsidR="00E64F8C" w:rsidRPr="00E64F8C">
              <w:rPr>
                <w:rFonts w:ascii="Arial" w:hAnsi="Arial" w:cs="Arial"/>
                <w:sz w:val="22"/>
                <w:szCs w:val="22"/>
              </w:rPr>
              <w:t xml:space="preserve">, 2006).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A28F383" w14:textId="77777777" w:rsidR="00F00E82" w:rsidRDefault="00F00E82" w:rsidP="00706DED">
            <w:pPr>
              <w:jc w:val="both"/>
              <w:rPr>
                <w:rFonts w:ascii="Arial" w:hAnsi="Arial" w:cs="Arial"/>
                <w:b/>
                <w:sz w:val="22"/>
                <w:szCs w:val="22"/>
              </w:rPr>
            </w:pPr>
          </w:p>
          <w:p w14:paraId="77167188" w14:textId="6B95D491" w:rsidR="00F00E82" w:rsidRPr="00AD7277" w:rsidRDefault="000773E4" w:rsidP="00AD7277">
            <w:pPr>
              <w:rPr>
                <w:rFonts w:ascii="Arial" w:hAnsi="Arial" w:cs="Arial"/>
                <w:sz w:val="22"/>
                <w:szCs w:val="22"/>
              </w:rPr>
            </w:pPr>
            <w:r w:rsidRPr="00AD7277">
              <w:rPr>
                <w:rFonts w:ascii="Arial" w:hAnsi="Arial" w:cs="Arial"/>
                <w:bCs/>
                <w:sz w:val="22"/>
                <w:szCs w:val="22"/>
              </w:rPr>
              <w:t xml:space="preserve">The findings </w:t>
            </w:r>
            <w:r w:rsidR="00F00E82" w:rsidRPr="00AD7277">
              <w:rPr>
                <w:rFonts w:ascii="Arial" w:hAnsi="Arial" w:cs="Arial"/>
                <w:bCs/>
                <w:sz w:val="22"/>
                <w:szCs w:val="22"/>
              </w:rPr>
              <w:t>provide clear examples of adaptation heuristics and opens up opportunities for critical discussion as to how our mindsets and ways of thinking guide our decision-making on how we proceed with adaptation science, policy and practice.</w:t>
            </w:r>
            <w:r w:rsidR="00682DE1" w:rsidRPr="00AD7277">
              <w:rPr>
                <w:rFonts w:ascii="Arial" w:hAnsi="Arial" w:cs="Arial"/>
                <w:bCs/>
                <w:sz w:val="22"/>
                <w:szCs w:val="22"/>
              </w:rPr>
              <w:t xml:space="preserve"> The findings</w:t>
            </w:r>
            <w:r w:rsidR="00D86226" w:rsidRPr="00AD7277">
              <w:rPr>
                <w:rFonts w:ascii="Arial" w:hAnsi="Arial" w:cs="Arial"/>
                <w:bCs/>
                <w:sz w:val="22"/>
                <w:szCs w:val="22"/>
              </w:rPr>
              <w:t xml:space="preserve"> also showcase the entanglement of multiple heuristics</w:t>
            </w:r>
            <w:r w:rsidR="00997FC2" w:rsidRPr="00AD7277">
              <w:rPr>
                <w:rFonts w:ascii="Arial" w:hAnsi="Arial" w:cs="Arial"/>
                <w:bCs/>
                <w:sz w:val="22"/>
                <w:szCs w:val="22"/>
              </w:rPr>
              <w:t xml:space="preserve"> that complicate decision-making. </w:t>
            </w:r>
            <w:r w:rsidR="00FF2B7D" w:rsidRPr="00AD7277">
              <w:rPr>
                <w:rFonts w:ascii="Arial" w:hAnsi="Arial" w:cs="Arial"/>
                <w:bCs/>
                <w:sz w:val="22"/>
                <w:szCs w:val="22"/>
              </w:rPr>
              <w:t xml:space="preserve">For example, multiple heuristics exist regarding climate adaptation’s ‘novelty’ as an issue for science, policy and practice, </w:t>
            </w:r>
            <w:r w:rsidR="00997FC2" w:rsidRPr="00AD7277">
              <w:rPr>
                <w:rFonts w:ascii="Arial" w:hAnsi="Arial" w:cs="Arial"/>
                <w:bCs/>
                <w:sz w:val="22"/>
                <w:szCs w:val="22"/>
              </w:rPr>
              <w:t>leading to different approaches (mainstreaming vs separation)</w:t>
            </w:r>
            <w:r w:rsidR="00682DE1" w:rsidRPr="00AD7277">
              <w:rPr>
                <w:rFonts w:ascii="Arial" w:hAnsi="Arial" w:cs="Arial"/>
                <w:bCs/>
                <w:sz w:val="22"/>
                <w:szCs w:val="22"/>
              </w:rPr>
              <w:t xml:space="preserve">. </w:t>
            </w:r>
            <w:r w:rsidR="00CD6780" w:rsidRPr="00AD7277">
              <w:rPr>
                <w:rFonts w:ascii="Arial" w:hAnsi="Arial" w:cs="Arial"/>
                <w:bCs/>
                <w:sz w:val="22"/>
                <w:szCs w:val="22"/>
              </w:rPr>
              <w:t xml:space="preserve">Similarly, </w:t>
            </w:r>
            <w:r w:rsidR="00677D6C" w:rsidRPr="00AD7277">
              <w:rPr>
                <w:rFonts w:ascii="Arial" w:hAnsi="Arial" w:cs="Arial"/>
                <w:bCs/>
                <w:sz w:val="22"/>
                <w:szCs w:val="22"/>
              </w:rPr>
              <w:t xml:space="preserve">heuristics around </w:t>
            </w:r>
            <w:r w:rsidR="00FE0C0B" w:rsidRPr="00AD7277">
              <w:rPr>
                <w:rFonts w:ascii="Arial" w:hAnsi="Arial" w:cs="Arial"/>
                <w:bCs/>
                <w:sz w:val="22"/>
                <w:szCs w:val="22"/>
              </w:rPr>
              <w:t>development-adaptation</w:t>
            </w:r>
            <w:r w:rsidR="00677D6C" w:rsidRPr="00AD7277">
              <w:rPr>
                <w:rFonts w:ascii="Arial" w:hAnsi="Arial" w:cs="Arial"/>
                <w:bCs/>
                <w:sz w:val="22"/>
                <w:szCs w:val="22"/>
              </w:rPr>
              <w:t xml:space="preserve">, vulnerability, mitigation-adaptation, </w:t>
            </w:r>
            <w:r w:rsidR="001F3F34" w:rsidRPr="00AD7277">
              <w:rPr>
                <w:rFonts w:ascii="Arial" w:hAnsi="Arial" w:cs="Arial"/>
                <w:bCs/>
                <w:sz w:val="22"/>
                <w:szCs w:val="22"/>
              </w:rPr>
              <w:t xml:space="preserve">scale, </w:t>
            </w:r>
            <w:r w:rsidR="00CA0AFF">
              <w:rPr>
                <w:rFonts w:ascii="Arial" w:hAnsi="Arial" w:cs="Arial"/>
                <w:bCs/>
                <w:sz w:val="22"/>
                <w:szCs w:val="22"/>
              </w:rPr>
              <w:t xml:space="preserve">and </w:t>
            </w:r>
            <w:r w:rsidR="001F3F34" w:rsidRPr="00AD7277">
              <w:rPr>
                <w:rFonts w:ascii="Arial" w:hAnsi="Arial" w:cs="Arial"/>
                <w:bCs/>
                <w:sz w:val="22"/>
                <w:szCs w:val="22"/>
              </w:rPr>
              <w:t>systems</w:t>
            </w:r>
            <w:r w:rsidR="00AD7277" w:rsidRPr="00AD7277">
              <w:rPr>
                <w:rFonts w:ascii="Arial" w:hAnsi="Arial" w:cs="Arial"/>
                <w:bCs/>
                <w:sz w:val="22"/>
                <w:szCs w:val="22"/>
              </w:rPr>
              <w:t>-sectors</w:t>
            </w:r>
            <w:r w:rsidR="00CA0AFF">
              <w:rPr>
                <w:rFonts w:ascii="Arial" w:hAnsi="Arial" w:cs="Arial"/>
                <w:bCs/>
                <w:sz w:val="22"/>
                <w:szCs w:val="22"/>
              </w:rPr>
              <w:t xml:space="preserve"> provide significant insights into how choosing the ‘correct’ heuristic for a particular context remains critical.</w:t>
            </w:r>
            <w:r w:rsidR="00AD7277" w:rsidRPr="00AD7277">
              <w:rPr>
                <w:rFonts w:ascii="Arial" w:hAnsi="Arial" w:cs="Arial"/>
                <w:sz w:val="22"/>
                <w:szCs w:val="22"/>
              </w:rPr>
              <w:t xml:space="preserve"> </w:t>
            </w:r>
            <w:r w:rsidR="00CA0AFF">
              <w:rPr>
                <w:rFonts w:ascii="Arial" w:hAnsi="Arial" w:cs="Arial"/>
                <w:sz w:val="22"/>
                <w:szCs w:val="22"/>
              </w:rPr>
              <w:t>Yet, this</w:t>
            </w:r>
            <w:r w:rsidR="00AD7277" w:rsidRPr="00AD7277">
              <w:rPr>
                <w:rFonts w:ascii="Arial" w:hAnsi="Arial" w:cs="Arial"/>
                <w:sz w:val="22"/>
                <w:szCs w:val="22"/>
              </w:rPr>
              <w:t xml:space="preserve"> study demonstrates that useful heuristics are not</w:t>
            </w:r>
            <w:r w:rsidR="00CA0AFF">
              <w:rPr>
                <w:rFonts w:ascii="Arial" w:hAnsi="Arial" w:cs="Arial"/>
                <w:sz w:val="22"/>
                <w:szCs w:val="22"/>
              </w:rPr>
              <w:t xml:space="preserve"> mere</w:t>
            </w:r>
            <w:r w:rsidR="00AD7277" w:rsidRPr="00AD7277">
              <w:rPr>
                <w:rFonts w:ascii="Arial" w:hAnsi="Arial" w:cs="Arial"/>
                <w:sz w:val="22"/>
                <w:szCs w:val="22"/>
              </w:rPr>
              <w:t xml:space="preserve"> “</w:t>
            </w:r>
            <w:r w:rsidR="00AD7277" w:rsidRPr="00AD7277">
              <w:rPr>
                <w:rFonts w:ascii="Arial" w:hAnsi="Arial" w:cs="Arial"/>
                <w:i/>
                <w:iCs/>
                <w:sz w:val="22"/>
                <w:szCs w:val="22"/>
              </w:rPr>
              <w:t>either-or</w:t>
            </w:r>
            <w:r w:rsidR="00CA0AFF">
              <w:rPr>
                <w:rFonts w:ascii="Arial" w:hAnsi="Arial" w:cs="Arial"/>
                <w:i/>
                <w:iCs/>
                <w:sz w:val="22"/>
                <w:szCs w:val="22"/>
              </w:rPr>
              <w:t>”</w:t>
            </w:r>
            <w:r w:rsidR="00AD7277" w:rsidRPr="00AD7277">
              <w:rPr>
                <w:rFonts w:ascii="Arial" w:hAnsi="Arial" w:cs="Arial"/>
                <w:sz w:val="22"/>
                <w:szCs w:val="22"/>
              </w:rPr>
              <w:t xml:space="preserve"> constructions but “</w:t>
            </w:r>
            <w:r w:rsidR="00AD7277" w:rsidRPr="00AD7277">
              <w:rPr>
                <w:rFonts w:ascii="Arial" w:hAnsi="Arial" w:cs="Arial"/>
                <w:i/>
                <w:iCs/>
                <w:sz w:val="22"/>
                <w:szCs w:val="22"/>
              </w:rPr>
              <w:t>and-then</w:t>
            </w:r>
            <w:r w:rsidR="00AD7277" w:rsidRPr="00AD7277">
              <w:rPr>
                <w:rFonts w:ascii="Arial" w:hAnsi="Arial" w:cs="Arial"/>
                <w:sz w:val="22"/>
                <w:szCs w:val="22"/>
              </w:rPr>
              <w:t xml:space="preserve">” that engage us in thinking about adaptation in rich and diverse ways. Rather, they are different approaches in viewing adaptation depending on the adaptation goal pursued. </w:t>
            </w:r>
          </w:p>
          <w:p w14:paraId="26DC99F1" w14:textId="77777777" w:rsidR="0065012F" w:rsidRDefault="0065012F" w:rsidP="00706DED">
            <w:pPr>
              <w:jc w:val="both"/>
              <w:rPr>
                <w:rFonts w:ascii="Arial" w:hAnsi="Arial" w:cs="Arial"/>
                <w:b/>
                <w:sz w:val="22"/>
                <w:szCs w:val="22"/>
              </w:rPr>
            </w:pPr>
          </w:p>
          <w:p w14:paraId="4675558E" w14:textId="43C1F300" w:rsidR="006B6536"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46A7409" w14:textId="77777777" w:rsidR="006B6536" w:rsidRDefault="006B6536" w:rsidP="006B6536">
            <w:pPr>
              <w:jc w:val="both"/>
              <w:rPr>
                <w:rFonts w:ascii="Arial" w:hAnsi="Arial" w:cs="Arial"/>
                <w:bCs/>
                <w:sz w:val="22"/>
                <w:szCs w:val="22"/>
              </w:rPr>
            </w:pPr>
          </w:p>
          <w:p w14:paraId="43CB2428" w14:textId="7E2AB615" w:rsidR="00BE58D6" w:rsidRPr="00270063" w:rsidRDefault="006B6536" w:rsidP="00706DED">
            <w:pPr>
              <w:jc w:val="both"/>
              <w:rPr>
                <w:rFonts w:ascii="Arial" w:hAnsi="Arial" w:cs="Arial"/>
                <w:sz w:val="22"/>
                <w:szCs w:val="22"/>
              </w:rPr>
            </w:pPr>
            <w:r>
              <w:rPr>
                <w:rFonts w:ascii="Arial" w:hAnsi="Arial" w:cs="Arial"/>
                <w:bCs/>
                <w:sz w:val="22"/>
                <w:szCs w:val="22"/>
              </w:rPr>
              <w:t xml:space="preserve">This presentation makes a significant contribution towards critical discourse on climate change adaptation and in particular its cognitive foundations. Adaptation heuristics as a growing strand of adaptation science is fundamental to the discussions on how adaptation agenda should be shaped going forward and what heuristics are we opting for when deciding what innovation, implementation and even maladaptation look like and why.  </w:t>
            </w:r>
            <w:bookmarkEnd w:id="1"/>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492FCE6E" w14:textId="77777777" w:rsidR="009F4EA0" w:rsidRDefault="007541DE" w:rsidP="00706DED">
            <w:pPr>
              <w:jc w:val="both"/>
              <w:rPr>
                <w:rFonts w:ascii="Arial" w:hAnsi="Arial" w:cs="Arial"/>
                <w:b/>
                <w:sz w:val="22"/>
                <w:szCs w:val="22"/>
              </w:rPr>
            </w:pPr>
            <w:r>
              <w:rPr>
                <w:rFonts w:ascii="Arial" w:hAnsi="Arial" w:cs="Arial"/>
                <w:b/>
                <w:sz w:val="22"/>
                <w:szCs w:val="22"/>
              </w:rPr>
              <w:t xml:space="preserve">References </w:t>
            </w:r>
          </w:p>
          <w:p w14:paraId="46436449" w14:textId="77777777" w:rsidR="007541DE" w:rsidRDefault="007541DE" w:rsidP="00706DED">
            <w:pPr>
              <w:jc w:val="both"/>
              <w:rPr>
                <w:rFonts w:ascii="Arial" w:hAnsi="Arial" w:cs="Arial"/>
                <w:b/>
                <w:sz w:val="22"/>
                <w:szCs w:val="22"/>
              </w:rPr>
            </w:pPr>
          </w:p>
          <w:p w14:paraId="13036AE4" w14:textId="57EBDE8A" w:rsidR="00255216" w:rsidRPr="00255216" w:rsidRDefault="00255216" w:rsidP="00255216">
            <w:pPr>
              <w:rPr>
                <w:rFonts w:ascii="Arial" w:hAnsi="Arial" w:cs="Arial"/>
                <w:color w:val="000000"/>
                <w:sz w:val="22"/>
                <w:szCs w:val="22"/>
              </w:rPr>
            </w:pPr>
            <w:r w:rsidRPr="00255216">
              <w:rPr>
                <w:rFonts w:ascii="Arial" w:hAnsi="Arial" w:cs="Arial"/>
                <w:color w:val="000000"/>
                <w:sz w:val="22"/>
                <w:szCs w:val="22"/>
              </w:rPr>
              <w:t>Fereday</w:t>
            </w:r>
            <w:r w:rsidRPr="00255216">
              <w:rPr>
                <w:rFonts w:ascii="Arial" w:hAnsi="Arial" w:cs="Arial"/>
                <w:color w:val="B6082E"/>
                <w:sz w:val="22"/>
                <w:szCs w:val="22"/>
              </w:rPr>
              <w:t xml:space="preserve">, </w:t>
            </w:r>
            <w:r w:rsidRPr="00255216">
              <w:rPr>
                <w:rFonts w:ascii="Arial" w:hAnsi="Arial" w:cs="Arial"/>
                <w:color w:val="000000"/>
                <w:sz w:val="22"/>
                <w:szCs w:val="22"/>
              </w:rPr>
              <w:t>J. &amp; E. Muir-</w:t>
            </w:r>
            <w:proofErr w:type="spellStart"/>
            <w:r w:rsidRPr="00255216">
              <w:rPr>
                <w:rFonts w:ascii="Arial" w:hAnsi="Arial" w:cs="Arial"/>
                <w:color w:val="000000"/>
                <w:sz w:val="22"/>
                <w:szCs w:val="22"/>
              </w:rPr>
              <w:t>cochrane</w:t>
            </w:r>
            <w:proofErr w:type="spellEnd"/>
            <w:r w:rsidRPr="00255216">
              <w:rPr>
                <w:rFonts w:ascii="Arial" w:hAnsi="Arial" w:cs="Arial"/>
                <w:color w:val="000000"/>
                <w:sz w:val="22"/>
                <w:szCs w:val="22"/>
              </w:rPr>
              <w:t xml:space="preserve"> (2006). Demonstrating Rigor Using Thematic Analysis: A</w:t>
            </w:r>
            <w:r>
              <w:rPr>
                <w:rFonts w:ascii="Arial" w:hAnsi="Arial" w:cs="Arial"/>
                <w:color w:val="000000"/>
                <w:sz w:val="22"/>
                <w:szCs w:val="22"/>
              </w:rPr>
              <w:t xml:space="preserve"> </w:t>
            </w:r>
            <w:r w:rsidRPr="00255216">
              <w:rPr>
                <w:rFonts w:ascii="Arial" w:hAnsi="Arial" w:cs="Arial"/>
                <w:color w:val="000000"/>
                <w:sz w:val="22"/>
                <w:szCs w:val="22"/>
              </w:rPr>
              <w:t xml:space="preserve">Hybrid Approach of Inductive and Deductive Coding and Theme Development. </w:t>
            </w:r>
            <w:r w:rsidRPr="00255216">
              <w:rPr>
                <w:rFonts w:ascii="Arial" w:hAnsi="Arial" w:cs="Arial"/>
                <w:i/>
                <w:iCs/>
                <w:color w:val="000000"/>
                <w:sz w:val="22"/>
                <w:szCs w:val="22"/>
              </w:rPr>
              <w:t>International Journal of Qualitative Methods</w:t>
            </w:r>
            <w:r w:rsidRPr="00255216">
              <w:rPr>
                <w:rFonts w:ascii="Arial" w:hAnsi="Arial" w:cs="Arial"/>
                <w:color w:val="000000"/>
                <w:sz w:val="22"/>
                <w:szCs w:val="22"/>
              </w:rPr>
              <w:t xml:space="preserve"> 5:1–18.</w:t>
            </w:r>
          </w:p>
          <w:p w14:paraId="11AC8FC8" w14:textId="77777777" w:rsidR="00126CDF" w:rsidRDefault="007541DE" w:rsidP="00126CDF">
            <w:pPr>
              <w:autoSpaceDE w:val="0"/>
              <w:autoSpaceDN w:val="0"/>
              <w:adjustRightInd w:val="0"/>
              <w:ind w:left="720" w:right="-720" w:hanging="720"/>
              <w:rPr>
                <w:rFonts w:ascii="Arial" w:hAnsi="Arial" w:cs="Arial"/>
                <w:sz w:val="22"/>
                <w:szCs w:val="22"/>
                <w:lang w:val="en-GB"/>
              </w:rPr>
            </w:pPr>
            <w:r w:rsidRPr="007541DE">
              <w:rPr>
                <w:rFonts w:ascii="Arial" w:hAnsi="Arial" w:cs="Arial"/>
                <w:sz w:val="22"/>
                <w:szCs w:val="22"/>
                <w:lang w:val="en-GB"/>
              </w:rPr>
              <w:t xml:space="preserve">Nalau, J., Preston, B. L., &amp; Maloney, M. C. (2015). Is adaptation a local responsibility? </w:t>
            </w:r>
            <w:r w:rsidRPr="007541DE">
              <w:rPr>
                <w:rFonts w:ascii="Arial" w:hAnsi="Arial" w:cs="Arial"/>
                <w:i/>
                <w:iCs/>
                <w:sz w:val="22"/>
                <w:szCs w:val="22"/>
                <w:lang w:val="en-GB"/>
              </w:rPr>
              <w:t>Environmental Science and Policy</w:t>
            </w:r>
            <w:r w:rsidRPr="007541DE">
              <w:rPr>
                <w:rFonts w:ascii="Arial" w:hAnsi="Arial" w:cs="Arial"/>
                <w:sz w:val="22"/>
                <w:szCs w:val="22"/>
                <w:lang w:val="en-GB"/>
              </w:rPr>
              <w:t>,</w:t>
            </w:r>
            <w:r w:rsidRPr="007541DE">
              <w:rPr>
                <w:rFonts w:ascii="Arial" w:hAnsi="Arial" w:cs="Arial"/>
                <w:i/>
                <w:iCs/>
                <w:sz w:val="22"/>
                <w:szCs w:val="22"/>
                <w:lang w:val="en-GB"/>
              </w:rPr>
              <w:t xml:space="preserve"> 48</w:t>
            </w:r>
            <w:r w:rsidRPr="007541DE">
              <w:rPr>
                <w:rFonts w:ascii="Arial" w:hAnsi="Arial" w:cs="Arial"/>
                <w:sz w:val="22"/>
                <w:szCs w:val="22"/>
                <w:lang w:val="en-GB"/>
              </w:rPr>
              <w:t xml:space="preserve">, 89-98. https://doi.org/10.1016/j.envsci.2014.12.011 </w:t>
            </w:r>
          </w:p>
          <w:p w14:paraId="4DF0A126" w14:textId="77584DC6" w:rsidR="00010372" w:rsidRDefault="004626F6" w:rsidP="00126CDF">
            <w:pPr>
              <w:autoSpaceDE w:val="0"/>
              <w:autoSpaceDN w:val="0"/>
              <w:adjustRightInd w:val="0"/>
              <w:ind w:left="720" w:right="-720" w:hanging="720"/>
              <w:rPr>
                <w:rFonts w:ascii="Arial" w:hAnsi="Arial" w:cs="Arial"/>
                <w:sz w:val="22"/>
                <w:szCs w:val="22"/>
                <w:lang w:val="en-GB"/>
              </w:rPr>
            </w:pPr>
            <w:r w:rsidRPr="00010372">
              <w:rPr>
                <w:rFonts w:ascii="Arial" w:hAnsi="Arial" w:cs="Arial"/>
                <w:sz w:val="22"/>
                <w:szCs w:val="22"/>
                <w:lang w:val="en-GB"/>
              </w:rPr>
              <w:t xml:space="preserve">Nalau, J., Torabi, E., Edwards, N., Howes, M., &amp; Morgan, E. (2021). </w:t>
            </w:r>
            <w:proofErr w:type="gramStart"/>
            <w:r w:rsidRPr="00010372">
              <w:rPr>
                <w:rFonts w:ascii="Arial" w:hAnsi="Arial" w:cs="Arial"/>
                <w:sz w:val="22"/>
                <w:szCs w:val="22"/>
                <w:lang w:val="en-GB"/>
              </w:rPr>
              <w:t>A critical</w:t>
            </w:r>
            <w:proofErr w:type="gramEnd"/>
            <w:r w:rsidRPr="00010372">
              <w:rPr>
                <w:rFonts w:ascii="Arial" w:hAnsi="Arial" w:cs="Arial"/>
                <w:sz w:val="22"/>
                <w:szCs w:val="22"/>
                <w:lang w:val="en-GB"/>
              </w:rPr>
              <w:t xml:space="preserve"> </w:t>
            </w:r>
          </w:p>
          <w:p w14:paraId="26D3DE64" w14:textId="1A83D0DE" w:rsidR="004626F6" w:rsidRPr="00010372" w:rsidRDefault="004626F6" w:rsidP="004626F6">
            <w:pPr>
              <w:autoSpaceDE w:val="0"/>
              <w:autoSpaceDN w:val="0"/>
              <w:adjustRightInd w:val="0"/>
              <w:ind w:left="720" w:right="-720" w:hanging="720"/>
              <w:rPr>
                <w:rFonts w:ascii="Arial" w:hAnsi="Arial" w:cs="Arial"/>
                <w:sz w:val="22"/>
                <w:szCs w:val="22"/>
                <w:lang w:val="en-GB"/>
              </w:rPr>
            </w:pPr>
            <w:r w:rsidRPr="00010372">
              <w:rPr>
                <w:rFonts w:ascii="Arial" w:hAnsi="Arial" w:cs="Arial"/>
                <w:sz w:val="22"/>
                <w:szCs w:val="22"/>
                <w:lang w:val="en-GB"/>
              </w:rPr>
              <w:t xml:space="preserve">exploration of adaptation heuristics. </w:t>
            </w:r>
            <w:r w:rsidRPr="00010372">
              <w:rPr>
                <w:rFonts w:ascii="Arial" w:hAnsi="Arial" w:cs="Arial"/>
                <w:i/>
                <w:iCs/>
                <w:sz w:val="22"/>
                <w:szCs w:val="22"/>
                <w:lang w:val="en-GB"/>
              </w:rPr>
              <w:t>Climate Risk Management</w:t>
            </w:r>
            <w:r w:rsidRPr="00010372">
              <w:rPr>
                <w:rFonts w:ascii="Arial" w:hAnsi="Arial" w:cs="Arial"/>
                <w:sz w:val="22"/>
                <w:szCs w:val="22"/>
                <w:lang w:val="en-GB"/>
              </w:rPr>
              <w:t>,</w:t>
            </w:r>
            <w:r w:rsidRPr="00010372">
              <w:rPr>
                <w:rFonts w:ascii="Arial" w:hAnsi="Arial" w:cs="Arial"/>
                <w:i/>
                <w:iCs/>
                <w:sz w:val="22"/>
                <w:szCs w:val="22"/>
                <w:lang w:val="en-GB"/>
              </w:rPr>
              <w:t xml:space="preserve"> 32</w:t>
            </w:r>
            <w:r w:rsidRPr="00010372">
              <w:rPr>
                <w:rFonts w:ascii="Arial" w:hAnsi="Arial" w:cs="Arial"/>
                <w:sz w:val="22"/>
                <w:szCs w:val="22"/>
                <w:lang w:val="en-GB"/>
              </w:rPr>
              <w:t xml:space="preserve">, </w:t>
            </w:r>
          </w:p>
          <w:p w14:paraId="43B2165C" w14:textId="5AAFD6E4" w:rsidR="004626F6" w:rsidRDefault="004626F6" w:rsidP="004626F6">
            <w:pPr>
              <w:autoSpaceDE w:val="0"/>
              <w:autoSpaceDN w:val="0"/>
              <w:adjustRightInd w:val="0"/>
              <w:ind w:left="720" w:right="-720" w:hanging="720"/>
              <w:rPr>
                <w:rFonts w:ascii="Arial" w:hAnsi="Arial" w:cs="Arial"/>
                <w:sz w:val="22"/>
                <w:szCs w:val="22"/>
                <w:lang w:val="en-GB"/>
              </w:rPr>
            </w:pPr>
            <w:r w:rsidRPr="00010372">
              <w:rPr>
                <w:rFonts w:ascii="Arial" w:hAnsi="Arial" w:cs="Arial"/>
                <w:sz w:val="22"/>
                <w:szCs w:val="22"/>
                <w:lang w:val="en-GB"/>
              </w:rPr>
              <w:t xml:space="preserve">100292. https://doi.org/https://doi.org/10.1016/j.crm.2021.100292 </w:t>
            </w:r>
          </w:p>
          <w:p w14:paraId="70C4979C" w14:textId="507CF948" w:rsidR="00756B9A" w:rsidRDefault="00756B9A" w:rsidP="00756B9A">
            <w:pPr>
              <w:autoSpaceDE w:val="0"/>
              <w:autoSpaceDN w:val="0"/>
              <w:adjustRightInd w:val="0"/>
              <w:ind w:left="720" w:right="-720" w:hanging="720"/>
              <w:rPr>
                <w:rFonts w:ascii="Arial" w:hAnsi="Arial" w:cs="Arial"/>
                <w:sz w:val="22"/>
                <w:szCs w:val="22"/>
                <w:lang w:val="en-GB"/>
              </w:rPr>
            </w:pPr>
            <w:r w:rsidRPr="00756B9A">
              <w:rPr>
                <w:rFonts w:ascii="Arial" w:hAnsi="Arial" w:cs="Arial"/>
                <w:sz w:val="22"/>
                <w:szCs w:val="22"/>
                <w:lang w:val="en-GB"/>
              </w:rPr>
              <w:t xml:space="preserve">Siders, A. R., &amp; Pierce, A. L. (2021). Deciding how to make climate change adaptation decisions. </w:t>
            </w:r>
            <w:r w:rsidRPr="00756B9A">
              <w:rPr>
                <w:rFonts w:ascii="Arial" w:hAnsi="Arial" w:cs="Arial"/>
                <w:i/>
                <w:iCs/>
                <w:sz w:val="22"/>
                <w:szCs w:val="22"/>
                <w:lang w:val="en-GB"/>
              </w:rPr>
              <w:t>Current Opinion in Environmental Sustainability</w:t>
            </w:r>
            <w:r w:rsidRPr="00756B9A">
              <w:rPr>
                <w:rFonts w:ascii="Arial" w:hAnsi="Arial" w:cs="Arial"/>
                <w:sz w:val="22"/>
                <w:szCs w:val="22"/>
                <w:lang w:val="en-GB"/>
              </w:rPr>
              <w:t>,</w:t>
            </w:r>
            <w:r w:rsidRPr="00756B9A">
              <w:rPr>
                <w:rFonts w:ascii="Arial" w:hAnsi="Arial" w:cs="Arial"/>
                <w:i/>
                <w:iCs/>
                <w:sz w:val="22"/>
                <w:szCs w:val="22"/>
                <w:lang w:val="en-GB"/>
              </w:rPr>
              <w:t xml:space="preserve"> 52</w:t>
            </w:r>
            <w:r w:rsidRPr="00756B9A">
              <w:rPr>
                <w:rFonts w:ascii="Arial" w:hAnsi="Arial" w:cs="Arial"/>
                <w:sz w:val="22"/>
                <w:szCs w:val="22"/>
                <w:lang w:val="en-GB"/>
              </w:rPr>
              <w:t xml:space="preserve">, 1-8. </w:t>
            </w:r>
            <w:hyperlink r:id="rId10" w:history="1">
              <w:r w:rsidR="00432EAB" w:rsidRPr="00516E4C">
                <w:rPr>
                  <w:rStyle w:val="Hyperlink"/>
                  <w:rFonts w:ascii="Arial" w:hAnsi="Arial" w:cs="Arial"/>
                  <w:sz w:val="22"/>
                  <w:szCs w:val="22"/>
                  <w:lang w:val="en-GB"/>
                </w:rPr>
                <w:t>https://doi.org/https://doi.org/10.1016/j.cosust.2021.03.017</w:t>
              </w:r>
            </w:hyperlink>
            <w:r w:rsidRPr="00756B9A">
              <w:rPr>
                <w:rFonts w:ascii="Arial" w:hAnsi="Arial" w:cs="Arial"/>
                <w:sz w:val="22"/>
                <w:szCs w:val="22"/>
                <w:lang w:val="en-GB"/>
              </w:rPr>
              <w:t xml:space="preserve"> </w:t>
            </w:r>
          </w:p>
          <w:p w14:paraId="1A97026D" w14:textId="0C5819D5" w:rsidR="00104200" w:rsidRPr="00104200" w:rsidRDefault="00104200" w:rsidP="00104200">
            <w:pPr>
              <w:rPr>
                <w:rFonts w:ascii="Arial" w:hAnsi="Arial" w:cs="Arial"/>
                <w:color w:val="000000"/>
                <w:sz w:val="22"/>
                <w:szCs w:val="22"/>
              </w:rPr>
            </w:pPr>
            <w:r w:rsidRPr="00104200">
              <w:rPr>
                <w:rFonts w:ascii="Arial" w:hAnsi="Arial" w:cs="Arial"/>
                <w:color w:val="000000"/>
                <w:sz w:val="22"/>
                <w:szCs w:val="22"/>
              </w:rPr>
              <w:t xml:space="preserve">Ravetz, J. R. (1972). Scientific knowledge and its social problems. Harmondsworth: </w:t>
            </w:r>
            <w:r w:rsidR="00CA0AFF">
              <w:rPr>
                <w:rFonts w:ascii="Arial" w:hAnsi="Arial" w:cs="Arial"/>
                <w:color w:val="000000"/>
                <w:sz w:val="22"/>
                <w:szCs w:val="22"/>
              </w:rPr>
              <w:t xml:space="preserve">    </w:t>
            </w:r>
            <w:r w:rsidRPr="00104200">
              <w:rPr>
                <w:rFonts w:ascii="Arial" w:hAnsi="Arial" w:cs="Arial"/>
                <w:color w:val="000000"/>
                <w:sz w:val="22"/>
                <w:szCs w:val="22"/>
              </w:rPr>
              <w:t>Penguin, 449p.</w:t>
            </w:r>
          </w:p>
          <w:p w14:paraId="4BA95B38" w14:textId="77777777" w:rsidR="00756B9A" w:rsidRPr="00010372" w:rsidRDefault="00756B9A" w:rsidP="004626F6">
            <w:pPr>
              <w:autoSpaceDE w:val="0"/>
              <w:autoSpaceDN w:val="0"/>
              <w:adjustRightInd w:val="0"/>
              <w:ind w:left="720" w:right="-720" w:hanging="720"/>
              <w:rPr>
                <w:rFonts w:ascii="Arial" w:hAnsi="Arial" w:cs="Arial"/>
                <w:sz w:val="22"/>
                <w:szCs w:val="22"/>
                <w:lang w:val="en-GB"/>
              </w:rPr>
            </w:pPr>
          </w:p>
          <w:p w14:paraId="2E763679" w14:textId="77777777" w:rsidR="004626F6" w:rsidRPr="007541DE" w:rsidRDefault="004626F6" w:rsidP="007541DE">
            <w:pPr>
              <w:autoSpaceDE w:val="0"/>
              <w:autoSpaceDN w:val="0"/>
              <w:adjustRightInd w:val="0"/>
              <w:ind w:left="720" w:right="-720" w:hanging="720"/>
              <w:rPr>
                <w:rFonts w:ascii="Arial" w:hAnsi="Arial" w:cs="Arial"/>
                <w:sz w:val="22"/>
                <w:szCs w:val="22"/>
                <w:lang w:val="en-GB"/>
              </w:rPr>
            </w:pPr>
          </w:p>
          <w:p w14:paraId="2CBAECD6" w14:textId="78EE1666" w:rsidR="007541DE" w:rsidRPr="007541DE" w:rsidRDefault="007541DE"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DC02" w14:textId="77777777" w:rsidR="003E1572" w:rsidRDefault="003E1572" w:rsidP="00F106DD">
      <w:r>
        <w:separator/>
      </w:r>
    </w:p>
  </w:endnote>
  <w:endnote w:type="continuationSeparator" w:id="0">
    <w:p w14:paraId="1D17C598" w14:textId="77777777" w:rsidR="003E1572" w:rsidRDefault="003E1572" w:rsidP="00F1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8599" w14:textId="1F6EF4A4" w:rsidR="00F106DD" w:rsidRDefault="00F106DD">
    <w:pPr>
      <w:pStyle w:val="Footer"/>
    </w:pPr>
    <w:r>
      <w:rPr>
        <w:noProof/>
      </w:rPr>
      <mc:AlternateContent>
        <mc:Choice Requires="wps">
          <w:drawing>
            <wp:anchor distT="0" distB="0" distL="0" distR="0" simplePos="0" relativeHeight="251659264" behindDoc="0" locked="0" layoutInCell="1" allowOverlap="1" wp14:anchorId="7EAC00EE" wp14:editId="576D22BF">
              <wp:simplePos x="635" y="635"/>
              <wp:positionH relativeFrom="page">
                <wp:align>center</wp:align>
              </wp:positionH>
              <wp:positionV relativeFrom="page">
                <wp:align>bottom</wp:align>
              </wp:positionV>
              <wp:extent cx="1020445" cy="299085"/>
              <wp:effectExtent l="0" t="0" r="8255" b="0"/>
              <wp:wrapNone/>
              <wp:docPr id="1665838078"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C00EE"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fill o:detectmouseclick="t"/>
              <v:textbox style="mso-fit-shape-to-text:t" inset="0,0,0,15pt">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21B" w14:textId="3A44576F" w:rsidR="00F106DD" w:rsidRDefault="00F106DD">
    <w:pPr>
      <w:pStyle w:val="Footer"/>
    </w:pPr>
    <w:r>
      <w:rPr>
        <w:noProof/>
      </w:rPr>
      <mc:AlternateContent>
        <mc:Choice Requires="wps">
          <w:drawing>
            <wp:anchor distT="0" distB="0" distL="0" distR="0" simplePos="0" relativeHeight="251660288" behindDoc="0" locked="0" layoutInCell="1" allowOverlap="1" wp14:anchorId="6ADB1EE1" wp14:editId="5B02CE38">
              <wp:simplePos x="914400" y="9420225"/>
              <wp:positionH relativeFrom="page">
                <wp:align>center</wp:align>
              </wp:positionH>
              <wp:positionV relativeFrom="page">
                <wp:align>bottom</wp:align>
              </wp:positionV>
              <wp:extent cx="1020445" cy="299085"/>
              <wp:effectExtent l="0" t="0" r="8255" b="0"/>
              <wp:wrapNone/>
              <wp:docPr id="1404549452"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9E2A43F" w14:textId="06C40ED5"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B1EE1"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fill o:detectmouseclick="t"/>
              <v:textbox style="mso-fit-shape-to-text:t" inset="0,0,0,15pt">
                <w:txbxContent>
                  <w:p w14:paraId="79E2A43F" w14:textId="06C40ED5"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E9E" w14:textId="0BCC8806" w:rsidR="00F106DD" w:rsidRDefault="00F106DD">
    <w:pPr>
      <w:pStyle w:val="Footer"/>
    </w:pPr>
    <w:r>
      <w:rPr>
        <w:noProof/>
      </w:rPr>
      <mc:AlternateContent>
        <mc:Choice Requires="wps">
          <w:drawing>
            <wp:anchor distT="0" distB="0" distL="0" distR="0" simplePos="0" relativeHeight="251658240" behindDoc="0" locked="0" layoutInCell="1" allowOverlap="1" wp14:anchorId="408AF3F2" wp14:editId="5644D09E">
              <wp:simplePos x="635" y="635"/>
              <wp:positionH relativeFrom="page">
                <wp:align>center</wp:align>
              </wp:positionH>
              <wp:positionV relativeFrom="page">
                <wp:align>bottom</wp:align>
              </wp:positionV>
              <wp:extent cx="1020445" cy="299085"/>
              <wp:effectExtent l="0" t="0" r="8255" b="0"/>
              <wp:wrapNone/>
              <wp:docPr id="1081393247"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AF3F2"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fill o:detectmouseclick="t"/>
              <v:textbox style="mso-fit-shape-to-text:t" inset="0,0,0,15pt">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AF3D" w14:textId="77777777" w:rsidR="003E1572" w:rsidRDefault="003E1572" w:rsidP="00F106DD">
      <w:r>
        <w:separator/>
      </w:r>
    </w:p>
  </w:footnote>
  <w:footnote w:type="continuationSeparator" w:id="0">
    <w:p w14:paraId="4D90B8C7" w14:textId="77777777" w:rsidR="003E1572" w:rsidRDefault="003E1572" w:rsidP="00F1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372"/>
    <w:rsid w:val="00031E12"/>
    <w:rsid w:val="000454E9"/>
    <w:rsid w:val="000773E4"/>
    <w:rsid w:val="00077404"/>
    <w:rsid w:val="000A5200"/>
    <w:rsid w:val="000F77F4"/>
    <w:rsid w:val="00104200"/>
    <w:rsid w:val="00105E39"/>
    <w:rsid w:val="00126CDF"/>
    <w:rsid w:val="00132AE5"/>
    <w:rsid w:val="00155315"/>
    <w:rsid w:val="001C046D"/>
    <w:rsid w:val="001F3F34"/>
    <w:rsid w:val="00247C60"/>
    <w:rsid w:val="00255216"/>
    <w:rsid w:val="00256963"/>
    <w:rsid w:val="00270063"/>
    <w:rsid w:val="002E0A38"/>
    <w:rsid w:val="002E3AA3"/>
    <w:rsid w:val="00317356"/>
    <w:rsid w:val="0034503D"/>
    <w:rsid w:val="00354C31"/>
    <w:rsid w:val="00375B20"/>
    <w:rsid w:val="00386D01"/>
    <w:rsid w:val="00387629"/>
    <w:rsid w:val="003E1572"/>
    <w:rsid w:val="003E512B"/>
    <w:rsid w:val="004049E7"/>
    <w:rsid w:val="00432EAB"/>
    <w:rsid w:val="004626F6"/>
    <w:rsid w:val="00462B90"/>
    <w:rsid w:val="004828A0"/>
    <w:rsid w:val="004A58F4"/>
    <w:rsid w:val="004B69C7"/>
    <w:rsid w:val="004D193B"/>
    <w:rsid w:val="004F4CE8"/>
    <w:rsid w:val="004F5C81"/>
    <w:rsid w:val="0051406D"/>
    <w:rsid w:val="0053222C"/>
    <w:rsid w:val="005469BD"/>
    <w:rsid w:val="00550B17"/>
    <w:rsid w:val="005854B8"/>
    <w:rsid w:val="0065012F"/>
    <w:rsid w:val="00677D6C"/>
    <w:rsid w:val="0068043B"/>
    <w:rsid w:val="00681CA7"/>
    <w:rsid w:val="00682DE1"/>
    <w:rsid w:val="006B6536"/>
    <w:rsid w:val="006E42FF"/>
    <w:rsid w:val="007541DE"/>
    <w:rsid w:val="00756B9A"/>
    <w:rsid w:val="008235E8"/>
    <w:rsid w:val="008773DF"/>
    <w:rsid w:val="008B01BA"/>
    <w:rsid w:val="008B50A0"/>
    <w:rsid w:val="008C0C35"/>
    <w:rsid w:val="008C22AD"/>
    <w:rsid w:val="008C2633"/>
    <w:rsid w:val="008E3D8D"/>
    <w:rsid w:val="008F2F93"/>
    <w:rsid w:val="009010B0"/>
    <w:rsid w:val="00906B39"/>
    <w:rsid w:val="00963443"/>
    <w:rsid w:val="00997FC2"/>
    <w:rsid w:val="009C374A"/>
    <w:rsid w:val="009F4EA0"/>
    <w:rsid w:val="00A33972"/>
    <w:rsid w:val="00AD7277"/>
    <w:rsid w:val="00B026E8"/>
    <w:rsid w:val="00B93324"/>
    <w:rsid w:val="00BA0872"/>
    <w:rsid w:val="00BA26BB"/>
    <w:rsid w:val="00BC6810"/>
    <w:rsid w:val="00BE0B4D"/>
    <w:rsid w:val="00BE0DEB"/>
    <w:rsid w:val="00BE58D6"/>
    <w:rsid w:val="00C26081"/>
    <w:rsid w:val="00C4126D"/>
    <w:rsid w:val="00C76C99"/>
    <w:rsid w:val="00C8423A"/>
    <w:rsid w:val="00CA0AFF"/>
    <w:rsid w:val="00CD6780"/>
    <w:rsid w:val="00CE53FE"/>
    <w:rsid w:val="00D716AD"/>
    <w:rsid w:val="00D86226"/>
    <w:rsid w:val="00D97420"/>
    <w:rsid w:val="00DA3A66"/>
    <w:rsid w:val="00DB7929"/>
    <w:rsid w:val="00DD1BB3"/>
    <w:rsid w:val="00E20146"/>
    <w:rsid w:val="00E612FF"/>
    <w:rsid w:val="00E64F8C"/>
    <w:rsid w:val="00E70556"/>
    <w:rsid w:val="00EB1B31"/>
    <w:rsid w:val="00ED0B44"/>
    <w:rsid w:val="00ED3DC2"/>
    <w:rsid w:val="00F00E82"/>
    <w:rsid w:val="00F106DD"/>
    <w:rsid w:val="00F818D6"/>
    <w:rsid w:val="00FA372B"/>
    <w:rsid w:val="00FE0C0B"/>
    <w:rsid w:val="00FF2B7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F106DD"/>
    <w:pPr>
      <w:tabs>
        <w:tab w:val="center" w:pos="4513"/>
        <w:tab w:val="right" w:pos="9026"/>
      </w:tabs>
    </w:pPr>
  </w:style>
  <w:style w:type="character" w:customStyle="1" w:styleId="FooterChar">
    <w:name w:val="Footer Char"/>
    <w:basedOn w:val="DefaultParagraphFont"/>
    <w:link w:val="Footer"/>
    <w:uiPriority w:val="99"/>
    <w:rsid w:val="00F106DD"/>
  </w:style>
  <w:style w:type="character" w:styleId="Hyperlink">
    <w:name w:val="Hyperlink"/>
    <w:basedOn w:val="DefaultParagraphFont"/>
    <w:uiPriority w:val="99"/>
    <w:unhideWhenUsed/>
    <w:rsid w:val="00432EAB"/>
    <w:rPr>
      <w:color w:val="0563C1" w:themeColor="hyperlink"/>
      <w:u w:val="single"/>
    </w:rPr>
  </w:style>
  <w:style w:type="character" w:styleId="UnresolvedMention">
    <w:name w:val="Unresolved Mention"/>
    <w:basedOn w:val="DefaultParagraphFont"/>
    <w:uiPriority w:val="99"/>
    <w:semiHidden/>
    <w:unhideWhenUsed/>
    <w:rsid w:val="0043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6701">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8841467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68358694">
      <w:bodyDiv w:val="1"/>
      <w:marLeft w:val="0"/>
      <w:marRight w:val="0"/>
      <w:marTop w:val="0"/>
      <w:marBottom w:val="0"/>
      <w:divBdr>
        <w:top w:val="none" w:sz="0" w:space="0" w:color="auto"/>
        <w:left w:val="none" w:sz="0" w:space="0" w:color="auto"/>
        <w:bottom w:val="none" w:sz="0" w:space="0" w:color="auto"/>
        <w:right w:val="none" w:sz="0" w:space="0" w:color="auto"/>
      </w:divBdr>
    </w:div>
    <w:div w:id="16698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https://doi.org/10.1016/j.cosust.2021.03.0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6077A-28E3-4B2E-B81E-B2136DE6D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6911e96c-4cc4-42d5-8e43-f93924cf6a05"/>
    <ds:schemaRef ds:uri="9c8a2b7b-0bee-4c48-b0a6-23db8982d3bc"/>
    <ds:schemaRef ds:uri="cab52c9b-ab33-4221-8af9-54f8f2b86a80"/>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609</Words>
  <Characters>3477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41</cp:revision>
  <dcterms:created xsi:type="dcterms:W3CDTF">2025-03-01T23:10:00Z</dcterms:created>
  <dcterms:modified xsi:type="dcterms:W3CDTF">2025-08-12T21:00:00Z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4074c05f,634aabfe,53b7b94c</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2025-02-23T21:12:40Z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225c2146-c5c0-49b6-8ec8-6f4c177297d4</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