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tc>
          <w:tcPr>
            <w:tcW w:w="8640" w:type="dxa"/>
          </w:tcPr>
          <w:p w:rsidR="002B7FC8" w:rsidRPr="00242808" w:rsidRDefault="00D1267D" w:rsidP="00E36AD7">
            <w:pPr>
              <w:jc w:val="both"/>
              <w:rPr>
                <w:rFonts w:ascii="Arial" w:hAnsi="Arial" w:cs="Arial"/>
                <w:sz w:val="22"/>
                <w:szCs w:val="22"/>
              </w:rPr>
            </w:pPr>
            <w:r>
              <w:rPr>
                <w:rFonts w:ascii="Arial" w:hAnsi="Arial" w:cs="Arial"/>
                <w:b/>
                <w:sz w:val="22"/>
                <w:szCs w:val="22"/>
              </w:rPr>
              <w:t>Beyond ‘</w:t>
            </w:r>
            <w:r w:rsidRPr="00D1267D">
              <w:rPr>
                <w:rFonts w:ascii="Arial" w:hAnsi="Arial" w:cs="Arial"/>
                <w:b/>
                <w:i/>
                <w:sz w:val="22"/>
                <w:szCs w:val="22"/>
              </w:rPr>
              <w:t>Healthy Cities: The Theory, Policy, and Practice of Value-Based Urban Planning</w:t>
            </w:r>
            <w:r>
              <w:rPr>
                <w:rFonts w:ascii="Arial" w:hAnsi="Arial" w:cs="Arial"/>
                <w:b/>
                <w:sz w:val="22"/>
                <w:szCs w:val="22"/>
              </w:rPr>
              <w:t>’ – embracing global health equity, diversity and governance</w:t>
            </w:r>
          </w:p>
        </w:tc>
      </w:tr>
      <w:tr w:rsidR="002B7FC8" w:rsidRPr="0003525D" w:rsidTr="00D71EFE">
        <w:trPr>
          <w:trHeight w:val="7663"/>
        </w:trPr>
        <w:tc>
          <w:tcPr>
            <w:tcW w:w="8640" w:type="dxa"/>
          </w:tcPr>
          <w:p w:rsidR="00DA7A71" w:rsidRDefault="00014A54" w:rsidP="00E36AD7">
            <w:pPr>
              <w:jc w:val="both"/>
              <w:rPr>
                <w:rFonts w:ascii="Arial" w:hAnsi="Arial" w:cs="Arial"/>
                <w:b/>
                <w:sz w:val="22"/>
                <w:szCs w:val="22"/>
              </w:rPr>
            </w:pPr>
            <w:r>
              <w:rPr>
                <w:rFonts w:ascii="Arial" w:hAnsi="Arial" w:cs="Arial"/>
                <w:b/>
                <w:sz w:val="22"/>
                <w:szCs w:val="22"/>
              </w:rPr>
              <w:t>Authors</w:t>
            </w:r>
          </w:p>
          <w:p w:rsidR="00D1267D" w:rsidRPr="00D1267D" w:rsidRDefault="00D1267D" w:rsidP="00E36AD7">
            <w:pPr>
              <w:jc w:val="both"/>
              <w:rPr>
                <w:rFonts w:ascii="Arial" w:hAnsi="Arial" w:cs="Arial"/>
                <w:sz w:val="22"/>
                <w:szCs w:val="22"/>
                <w:lang w:val="nl-NL"/>
              </w:rPr>
            </w:pPr>
            <w:r w:rsidRPr="00D1267D">
              <w:rPr>
                <w:rFonts w:ascii="Arial" w:hAnsi="Arial" w:cs="Arial"/>
                <w:sz w:val="22"/>
                <w:szCs w:val="22"/>
                <w:lang w:val="nl-NL"/>
              </w:rPr>
              <w:t xml:space="preserve">Evelyne de Leeuw </w:t>
            </w:r>
            <w:proofErr w:type="spellStart"/>
            <w:r w:rsidRPr="00D1267D">
              <w:rPr>
                <w:rFonts w:ascii="Arial" w:hAnsi="Arial" w:cs="Arial"/>
                <w:sz w:val="22"/>
                <w:szCs w:val="22"/>
                <w:lang w:val="nl-NL"/>
              </w:rPr>
              <w:t>and</w:t>
            </w:r>
            <w:proofErr w:type="spellEnd"/>
            <w:r w:rsidRPr="00D1267D">
              <w:rPr>
                <w:rFonts w:ascii="Arial" w:hAnsi="Arial" w:cs="Arial"/>
                <w:sz w:val="22"/>
                <w:szCs w:val="22"/>
                <w:lang w:val="nl-NL"/>
              </w:rPr>
              <w:t xml:space="preserve"> J</w:t>
            </w:r>
            <w:r>
              <w:rPr>
                <w:rFonts w:ascii="Arial" w:hAnsi="Arial" w:cs="Arial"/>
                <w:sz w:val="22"/>
                <w:szCs w:val="22"/>
                <w:lang w:val="nl-NL"/>
              </w:rPr>
              <w:t>ean Simos</w:t>
            </w:r>
          </w:p>
          <w:p w:rsidR="00DA7A71" w:rsidRPr="00D1267D" w:rsidRDefault="00DA7A71" w:rsidP="00E36AD7">
            <w:pPr>
              <w:jc w:val="both"/>
              <w:rPr>
                <w:rFonts w:ascii="Arial" w:hAnsi="Arial" w:cs="Arial"/>
                <w:sz w:val="22"/>
                <w:szCs w:val="22"/>
                <w:lang w:val="nl-NL"/>
              </w:rPr>
            </w:pPr>
          </w:p>
          <w:p w:rsidR="00DA7A71" w:rsidRDefault="00014A54" w:rsidP="00E36AD7">
            <w:pPr>
              <w:jc w:val="both"/>
              <w:rPr>
                <w:rFonts w:ascii="Arial" w:hAnsi="Arial" w:cs="Arial"/>
                <w:b/>
                <w:sz w:val="22"/>
                <w:szCs w:val="22"/>
              </w:rPr>
            </w:pPr>
            <w:r>
              <w:rPr>
                <w:rFonts w:ascii="Arial" w:hAnsi="Arial" w:cs="Arial"/>
                <w:b/>
                <w:sz w:val="22"/>
                <w:szCs w:val="22"/>
              </w:rPr>
              <w:t>Book Title</w:t>
            </w:r>
          </w:p>
          <w:p w:rsidR="00DA7A71" w:rsidRPr="00D1267D" w:rsidRDefault="00D1267D" w:rsidP="00E36AD7">
            <w:pPr>
              <w:jc w:val="both"/>
              <w:rPr>
                <w:rFonts w:ascii="Arial" w:hAnsi="Arial" w:cs="Arial"/>
                <w:sz w:val="22"/>
                <w:szCs w:val="22"/>
              </w:rPr>
            </w:pPr>
            <w:r w:rsidRPr="00D1267D">
              <w:rPr>
                <w:rFonts w:ascii="Arial" w:hAnsi="Arial" w:cs="Arial"/>
                <w:sz w:val="22"/>
                <w:szCs w:val="22"/>
              </w:rPr>
              <w:t>Healthy Cities: The Theory, Policy, and Practice of Value-Based Urban Planning</w:t>
            </w:r>
          </w:p>
          <w:p w:rsidR="00DA7A71" w:rsidRDefault="00DA7A71" w:rsidP="00E36AD7">
            <w:pPr>
              <w:jc w:val="both"/>
              <w:rPr>
                <w:rFonts w:ascii="Arial" w:hAnsi="Arial" w:cs="Arial"/>
                <w:b/>
                <w:sz w:val="22"/>
                <w:szCs w:val="22"/>
              </w:rPr>
            </w:pPr>
          </w:p>
          <w:p w:rsidR="00DA7A71" w:rsidRDefault="00014A54" w:rsidP="00E36AD7">
            <w:pPr>
              <w:jc w:val="both"/>
              <w:rPr>
                <w:rFonts w:ascii="Arial" w:hAnsi="Arial" w:cs="Arial"/>
                <w:b/>
                <w:sz w:val="22"/>
                <w:szCs w:val="22"/>
              </w:rPr>
            </w:pPr>
            <w:r>
              <w:rPr>
                <w:rFonts w:ascii="Arial" w:hAnsi="Arial" w:cs="Arial"/>
                <w:b/>
                <w:sz w:val="22"/>
                <w:szCs w:val="22"/>
              </w:rPr>
              <w:t>Publisher and year of publication</w:t>
            </w:r>
          </w:p>
          <w:p w:rsidR="004B7D91" w:rsidRPr="00D1267D" w:rsidRDefault="00D1267D" w:rsidP="00E36AD7">
            <w:pPr>
              <w:jc w:val="both"/>
              <w:rPr>
                <w:rFonts w:ascii="Arial" w:hAnsi="Arial" w:cs="Arial"/>
                <w:sz w:val="22"/>
                <w:szCs w:val="22"/>
              </w:rPr>
            </w:pPr>
            <w:r w:rsidRPr="00D1267D">
              <w:rPr>
                <w:rFonts w:ascii="Arial" w:hAnsi="Arial" w:cs="Arial"/>
                <w:sz w:val="22"/>
                <w:szCs w:val="22"/>
              </w:rPr>
              <w:t>Springer (New York), 2017</w:t>
            </w:r>
          </w:p>
          <w:p w:rsidR="004B7D91" w:rsidRDefault="004B7D91" w:rsidP="00E36AD7">
            <w:pPr>
              <w:jc w:val="both"/>
              <w:rPr>
                <w:rFonts w:ascii="Arial" w:hAnsi="Arial" w:cs="Arial"/>
                <w:b/>
                <w:sz w:val="22"/>
                <w:szCs w:val="22"/>
              </w:rPr>
            </w:pPr>
          </w:p>
          <w:p w:rsidR="004B7D91" w:rsidRDefault="00014A54" w:rsidP="00E36AD7">
            <w:pPr>
              <w:jc w:val="both"/>
              <w:rPr>
                <w:rFonts w:ascii="Arial" w:hAnsi="Arial" w:cs="Arial"/>
                <w:b/>
                <w:sz w:val="22"/>
                <w:szCs w:val="22"/>
              </w:rPr>
            </w:pPr>
            <w:r>
              <w:rPr>
                <w:rFonts w:ascii="Arial" w:hAnsi="Arial" w:cs="Arial"/>
                <w:b/>
                <w:sz w:val="22"/>
                <w:szCs w:val="22"/>
              </w:rPr>
              <w:t>Book description</w:t>
            </w:r>
          </w:p>
          <w:p w:rsidR="00D1267D" w:rsidRPr="00D1267D" w:rsidRDefault="00D1267D" w:rsidP="00D1267D">
            <w:pPr>
              <w:jc w:val="both"/>
              <w:rPr>
                <w:rFonts w:ascii="Arial" w:hAnsi="Arial" w:cs="Arial"/>
                <w:sz w:val="22"/>
                <w:szCs w:val="22"/>
              </w:rPr>
            </w:pPr>
            <w:r w:rsidRPr="00D1267D">
              <w:rPr>
                <w:rFonts w:ascii="Arial" w:hAnsi="Arial" w:cs="Arial"/>
                <w:sz w:val="22"/>
                <w:szCs w:val="22"/>
              </w:rPr>
              <w:t>(from website:</w:t>
            </w:r>
            <w:r>
              <w:rPr>
                <w:rFonts w:ascii="Arial" w:hAnsi="Arial" w:cs="Arial"/>
                <w:sz w:val="22"/>
                <w:szCs w:val="22"/>
              </w:rPr>
              <w:t>)</w:t>
            </w:r>
            <w:r>
              <w:rPr>
                <w:rFonts w:ascii="Arial" w:hAnsi="Arial" w:cs="Arial"/>
                <w:b/>
                <w:sz w:val="22"/>
                <w:szCs w:val="22"/>
              </w:rPr>
              <w:t xml:space="preserve"> </w:t>
            </w:r>
            <w:r w:rsidRPr="00D1267D">
              <w:rPr>
                <w:rFonts w:ascii="Arial" w:hAnsi="Arial" w:cs="Arial"/>
                <w:sz w:val="22"/>
                <w:szCs w:val="22"/>
              </w:rPr>
              <w:t>This forward-looking resource recasts the concept of healthy cities as not only a safe, pleasant, and green built environment, but also one that creates and sustains health by addressing social, economic, and political conditions. It describes collaborations between city planning and public health creating a contemporary concept of urban governance—a democratically-informed process that embraces values like equity. Models, critiques, and global examples illustrate institutional change, community input, targeted assessment, and other means of addressing longstanding sources of urban health challenges. In these ambitious pages, healthy cities are rooted firmly in the worldwide movement toward balanced and sustainable urbanization, developed not to disguise or displace entrenched health and social problems, but to encourage and foster solutions.</w:t>
            </w:r>
          </w:p>
          <w:p w:rsidR="00D1267D" w:rsidRPr="00D1267D" w:rsidRDefault="00D1267D" w:rsidP="00D1267D">
            <w:pPr>
              <w:jc w:val="both"/>
              <w:rPr>
                <w:rFonts w:ascii="Arial" w:hAnsi="Arial" w:cs="Arial"/>
                <w:sz w:val="22"/>
                <w:szCs w:val="22"/>
              </w:rPr>
            </w:pPr>
            <w:r w:rsidRPr="00D1267D">
              <w:rPr>
                <w:rFonts w:ascii="Arial" w:hAnsi="Arial" w:cs="Arial"/>
                <w:sz w:val="22"/>
                <w:szCs w:val="22"/>
              </w:rPr>
              <w:t xml:space="preserve">Included in the coverage: </w:t>
            </w:r>
          </w:p>
          <w:p w:rsidR="00D1267D" w:rsidRPr="00D1267D" w:rsidRDefault="00D1267D" w:rsidP="00D1267D">
            <w:pPr>
              <w:pStyle w:val="ListParagraph"/>
              <w:numPr>
                <w:ilvl w:val="0"/>
                <w:numId w:val="1"/>
              </w:numPr>
              <w:jc w:val="both"/>
              <w:rPr>
                <w:rFonts w:ascii="Arial" w:hAnsi="Arial" w:cs="Arial"/>
                <w:sz w:val="22"/>
                <w:szCs w:val="22"/>
              </w:rPr>
            </w:pPr>
            <w:r w:rsidRPr="00D1267D">
              <w:rPr>
                <w:rFonts w:ascii="Arial" w:hAnsi="Arial" w:cs="Arial"/>
                <w:sz w:val="22"/>
                <w:szCs w:val="22"/>
              </w:rPr>
              <w:t>Towards healthy urban governance in the century of the city</w:t>
            </w:r>
          </w:p>
          <w:p w:rsidR="00D1267D" w:rsidRPr="00D1267D" w:rsidRDefault="00D1267D" w:rsidP="00D1267D">
            <w:pPr>
              <w:pStyle w:val="ListParagraph"/>
              <w:numPr>
                <w:ilvl w:val="0"/>
                <w:numId w:val="1"/>
              </w:numPr>
              <w:jc w:val="both"/>
              <w:rPr>
                <w:rFonts w:ascii="Arial" w:hAnsi="Arial" w:cs="Arial"/>
                <w:sz w:val="22"/>
                <w:szCs w:val="22"/>
              </w:rPr>
            </w:pPr>
            <w:r w:rsidRPr="00D1267D">
              <w:rPr>
                <w:rFonts w:ascii="Arial" w:hAnsi="Arial" w:cs="Arial"/>
                <w:sz w:val="22"/>
                <w:szCs w:val="22"/>
              </w:rPr>
              <w:t>Healthy cities emerge: Toronto, Ottawa, Copenhagen</w:t>
            </w:r>
          </w:p>
          <w:p w:rsidR="00D1267D" w:rsidRPr="00D1267D" w:rsidRDefault="00D1267D" w:rsidP="00D1267D">
            <w:pPr>
              <w:pStyle w:val="ListParagraph"/>
              <w:numPr>
                <w:ilvl w:val="0"/>
                <w:numId w:val="1"/>
              </w:numPr>
              <w:jc w:val="both"/>
              <w:rPr>
                <w:rFonts w:ascii="Arial" w:hAnsi="Arial" w:cs="Arial"/>
                <w:sz w:val="22"/>
                <w:szCs w:val="22"/>
              </w:rPr>
            </w:pPr>
            <w:r w:rsidRPr="00D1267D">
              <w:rPr>
                <w:rFonts w:ascii="Arial" w:hAnsi="Arial" w:cs="Arial"/>
                <w:sz w:val="22"/>
                <w:szCs w:val="22"/>
              </w:rPr>
              <w:t>The role of policy coalitions in understanding community participation in healthy cities projects</w:t>
            </w:r>
          </w:p>
          <w:p w:rsidR="00D1267D" w:rsidRPr="00D1267D" w:rsidRDefault="00D1267D" w:rsidP="00D1267D">
            <w:pPr>
              <w:pStyle w:val="ListParagraph"/>
              <w:numPr>
                <w:ilvl w:val="0"/>
                <w:numId w:val="1"/>
              </w:numPr>
              <w:jc w:val="both"/>
              <w:rPr>
                <w:rFonts w:ascii="Arial" w:hAnsi="Arial" w:cs="Arial"/>
                <w:sz w:val="22"/>
                <w:szCs w:val="22"/>
              </w:rPr>
            </w:pPr>
            <w:r w:rsidRPr="00D1267D">
              <w:rPr>
                <w:rFonts w:ascii="Arial" w:hAnsi="Arial" w:cs="Arial"/>
                <w:sz w:val="22"/>
                <w:szCs w:val="22"/>
              </w:rPr>
              <w:t>Health impact assessment at the local level</w:t>
            </w:r>
          </w:p>
          <w:p w:rsidR="00D1267D" w:rsidRPr="00D1267D" w:rsidRDefault="00D1267D" w:rsidP="00D1267D">
            <w:pPr>
              <w:pStyle w:val="ListParagraph"/>
              <w:numPr>
                <w:ilvl w:val="0"/>
                <w:numId w:val="1"/>
              </w:numPr>
              <w:jc w:val="both"/>
              <w:rPr>
                <w:rFonts w:ascii="Arial" w:hAnsi="Arial" w:cs="Arial"/>
                <w:sz w:val="22"/>
                <w:szCs w:val="22"/>
              </w:rPr>
            </w:pPr>
            <w:r w:rsidRPr="00D1267D">
              <w:rPr>
                <w:rFonts w:ascii="Arial" w:hAnsi="Arial" w:cs="Arial"/>
                <w:sz w:val="22"/>
                <w:szCs w:val="22"/>
              </w:rPr>
              <w:t>The logic of method for evaluating healthy cities</w:t>
            </w:r>
          </w:p>
          <w:p w:rsidR="00D1267D" w:rsidRPr="00D1267D" w:rsidRDefault="00D1267D" w:rsidP="00D1267D">
            <w:pPr>
              <w:pStyle w:val="ListParagraph"/>
              <w:numPr>
                <w:ilvl w:val="0"/>
                <w:numId w:val="1"/>
              </w:numPr>
              <w:jc w:val="both"/>
              <w:rPr>
                <w:rFonts w:ascii="Arial" w:hAnsi="Arial" w:cs="Arial"/>
                <w:sz w:val="22"/>
                <w:szCs w:val="22"/>
              </w:rPr>
            </w:pPr>
            <w:r w:rsidRPr="00D1267D">
              <w:rPr>
                <w:rFonts w:ascii="Arial" w:hAnsi="Arial" w:cs="Arial"/>
                <w:sz w:val="22"/>
                <w:szCs w:val="22"/>
              </w:rPr>
              <w:t xml:space="preserve">Plus: extended reports on healthy cities and communities in North and Latin America, Africa, Europe, Asia, Oceania, and the Middle East                                                                                                                    </w:t>
            </w:r>
          </w:p>
          <w:p w:rsidR="0036292E" w:rsidRPr="00D1267D" w:rsidRDefault="00D1267D" w:rsidP="00D1267D">
            <w:pPr>
              <w:jc w:val="both"/>
              <w:rPr>
                <w:rFonts w:ascii="Arial" w:hAnsi="Arial" w:cs="Arial"/>
                <w:sz w:val="22"/>
                <w:szCs w:val="22"/>
              </w:rPr>
            </w:pPr>
            <w:r w:rsidRPr="00D1267D">
              <w:rPr>
                <w:rFonts w:ascii="Arial" w:hAnsi="Arial" w:cs="Arial"/>
                <w:i/>
                <w:sz w:val="22"/>
                <w:szCs w:val="22"/>
              </w:rPr>
              <w:t>Healthy Cities</w:t>
            </w:r>
            <w:r w:rsidRPr="00D1267D">
              <w:rPr>
                <w:rFonts w:ascii="Arial" w:hAnsi="Arial" w:cs="Arial"/>
                <w:sz w:val="22"/>
                <w:szCs w:val="22"/>
              </w:rPr>
              <w:t xml:space="preserve"> will interest and inspire community leaders, activists, politicians, and entrepreneurs working to improve health and well-being at the local level, as well as public health and urban development scholars and professionals.</w:t>
            </w:r>
            <w:r w:rsidRPr="00D1267D">
              <w:rPr>
                <w:rFonts w:ascii="Arial" w:hAnsi="Arial" w:cs="Arial"/>
                <w:sz w:val="22"/>
                <w:szCs w:val="22"/>
              </w:rPr>
              <w:t xml:space="preserve"> </w:t>
            </w:r>
          </w:p>
          <w:p w:rsidR="00C978A6" w:rsidRDefault="00C978A6" w:rsidP="00E36AD7">
            <w:pPr>
              <w:jc w:val="both"/>
              <w:rPr>
                <w:rFonts w:ascii="Arial" w:hAnsi="Arial" w:cs="Arial"/>
                <w:b/>
                <w:sz w:val="22"/>
                <w:szCs w:val="22"/>
              </w:rPr>
            </w:pPr>
          </w:p>
          <w:p w:rsidR="00C978A6" w:rsidRDefault="0072550F" w:rsidP="00E36AD7">
            <w:pPr>
              <w:jc w:val="both"/>
              <w:rPr>
                <w:rFonts w:ascii="Arial" w:hAnsi="Arial" w:cs="Arial"/>
                <w:b/>
                <w:sz w:val="22"/>
                <w:szCs w:val="22"/>
              </w:rPr>
            </w:pPr>
            <w:r w:rsidRPr="0072550F">
              <w:rPr>
                <w:rFonts w:ascii="Arial" w:hAnsi="Arial" w:cs="Arial"/>
                <w:b/>
                <w:sz w:val="22"/>
                <w:szCs w:val="22"/>
              </w:rPr>
              <w:t>Relevance for health promotion or sustainable development</w:t>
            </w:r>
          </w:p>
          <w:p w:rsidR="004B7D91" w:rsidRDefault="00D1267D" w:rsidP="00E36AD7">
            <w:pPr>
              <w:jc w:val="both"/>
              <w:rPr>
                <w:rFonts w:ascii="Arial" w:hAnsi="Arial" w:cs="Arial"/>
                <w:sz w:val="22"/>
                <w:szCs w:val="22"/>
              </w:rPr>
            </w:pPr>
            <w:r>
              <w:rPr>
                <w:rFonts w:ascii="Arial" w:hAnsi="Arial" w:cs="Arial"/>
                <w:sz w:val="22"/>
                <w:szCs w:val="22"/>
              </w:rPr>
              <w:t>‘</w:t>
            </w:r>
            <w:r w:rsidRPr="00D1267D">
              <w:rPr>
                <w:rFonts w:ascii="Arial" w:hAnsi="Arial" w:cs="Arial"/>
                <w:i/>
                <w:sz w:val="22"/>
                <w:szCs w:val="22"/>
              </w:rPr>
              <w:t>Healthy Cities</w:t>
            </w:r>
            <w:r>
              <w:rPr>
                <w:rFonts w:ascii="Arial" w:hAnsi="Arial" w:cs="Arial"/>
                <w:sz w:val="22"/>
                <w:szCs w:val="22"/>
              </w:rPr>
              <w:t xml:space="preserve">’ was the second settings spin-off from the Ottawa Charter (after </w:t>
            </w:r>
            <w:r w:rsidRPr="00D1267D">
              <w:rPr>
                <w:rFonts w:ascii="Arial" w:hAnsi="Arial" w:cs="Arial"/>
                <w:i/>
                <w:sz w:val="22"/>
                <w:szCs w:val="22"/>
              </w:rPr>
              <w:t>Health Promoting Schools</w:t>
            </w:r>
            <w:r>
              <w:rPr>
                <w:rFonts w:ascii="Arial" w:hAnsi="Arial" w:cs="Arial"/>
                <w:sz w:val="22"/>
                <w:szCs w:val="22"/>
              </w:rPr>
              <w:t>) and now embraces thousands of cities around the world that pursue value-based urban planning for health. In our analysis Healthy Cities values and evidence align wholly with the 17 SDGs. This is an important observation in the ‘Urban Century’.</w:t>
            </w:r>
          </w:p>
          <w:p w:rsidR="00DA7A71" w:rsidRDefault="00D1267D" w:rsidP="00E36AD7">
            <w:pPr>
              <w:jc w:val="both"/>
              <w:rPr>
                <w:rFonts w:ascii="Arial" w:hAnsi="Arial" w:cs="Arial"/>
                <w:b/>
                <w:sz w:val="22"/>
                <w:szCs w:val="22"/>
              </w:rPr>
            </w:pPr>
            <w:r>
              <w:rPr>
                <w:rFonts w:ascii="Arial" w:hAnsi="Arial" w:cs="Arial"/>
                <w:sz w:val="22"/>
                <w:szCs w:val="22"/>
              </w:rPr>
              <w:t>We wish to engage with the IUHPE2019 participants to consider an update of the book (‘</w:t>
            </w:r>
            <w:r w:rsidRPr="00D1267D">
              <w:rPr>
                <w:rFonts w:ascii="Arial" w:hAnsi="Arial" w:cs="Arial"/>
                <w:i/>
                <w:sz w:val="22"/>
                <w:szCs w:val="22"/>
              </w:rPr>
              <w:t>Healthy Cities 2.0’</w:t>
            </w:r>
            <w:r>
              <w:rPr>
                <w:rFonts w:ascii="Arial" w:hAnsi="Arial" w:cs="Arial"/>
                <w:sz w:val="22"/>
                <w:szCs w:val="22"/>
              </w:rPr>
              <w:t>) which is deliberately more inclusive and political.</w:t>
            </w:r>
          </w:p>
          <w:p w:rsidR="00DA7A71" w:rsidRPr="00DA7A71" w:rsidRDefault="00DA7A71" w:rsidP="00E36AD7">
            <w:pPr>
              <w:jc w:val="both"/>
              <w:rPr>
                <w:rFonts w:ascii="Arial" w:hAnsi="Arial" w:cs="Arial"/>
                <w:bCs/>
                <w:sz w:val="22"/>
                <w:szCs w:val="22"/>
              </w:rPr>
            </w:pPr>
          </w:p>
        </w:tc>
      </w:tr>
    </w:tbl>
    <w:p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315B1"/>
    <w:multiLevelType w:val="hybridMultilevel"/>
    <w:tmpl w:val="A1F6F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14A54"/>
    <w:rsid w:val="00026E39"/>
    <w:rsid w:val="0003525D"/>
    <w:rsid w:val="000411F1"/>
    <w:rsid w:val="00077988"/>
    <w:rsid w:val="0008349E"/>
    <w:rsid w:val="000C05CE"/>
    <w:rsid w:val="00131D1E"/>
    <w:rsid w:val="001C3A37"/>
    <w:rsid w:val="00211765"/>
    <w:rsid w:val="00230B21"/>
    <w:rsid w:val="00232818"/>
    <w:rsid w:val="00242808"/>
    <w:rsid w:val="0025023F"/>
    <w:rsid w:val="00294265"/>
    <w:rsid w:val="00295F0E"/>
    <w:rsid w:val="002B7FC8"/>
    <w:rsid w:val="002F34DB"/>
    <w:rsid w:val="00317FFE"/>
    <w:rsid w:val="00341423"/>
    <w:rsid w:val="0036292E"/>
    <w:rsid w:val="00363AF7"/>
    <w:rsid w:val="003A6236"/>
    <w:rsid w:val="003B15A7"/>
    <w:rsid w:val="003F596D"/>
    <w:rsid w:val="00490208"/>
    <w:rsid w:val="00490C7B"/>
    <w:rsid w:val="004B5B95"/>
    <w:rsid w:val="004B7D91"/>
    <w:rsid w:val="004C45A1"/>
    <w:rsid w:val="004E345D"/>
    <w:rsid w:val="00564331"/>
    <w:rsid w:val="00590824"/>
    <w:rsid w:val="005E41BD"/>
    <w:rsid w:val="005F7DC7"/>
    <w:rsid w:val="006605DB"/>
    <w:rsid w:val="00663BFF"/>
    <w:rsid w:val="006C6E32"/>
    <w:rsid w:val="0070252B"/>
    <w:rsid w:val="00714C46"/>
    <w:rsid w:val="0072550F"/>
    <w:rsid w:val="007A2A9C"/>
    <w:rsid w:val="007E61BA"/>
    <w:rsid w:val="0082392D"/>
    <w:rsid w:val="008874BF"/>
    <w:rsid w:val="008C05AC"/>
    <w:rsid w:val="00932377"/>
    <w:rsid w:val="009579B1"/>
    <w:rsid w:val="00994DCB"/>
    <w:rsid w:val="009B7881"/>
    <w:rsid w:val="00A04E2C"/>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1267D"/>
    <w:rsid w:val="00D71EFE"/>
    <w:rsid w:val="00DA45EE"/>
    <w:rsid w:val="00DA7A71"/>
    <w:rsid w:val="00DC2C64"/>
    <w:rsid w:val="00DE6D44"/>
    <w:rsid w:val="00E0479B"/>
    <w:rsid w:val="00E36AD7"/>
    <w:rsid w:val="00E379B4"/>
    <w:rsid w:val="00E458B1"/>
    <w:rsid w:val="00F1462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D12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283">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Evelyne de Leeuw</cp:lastModifiedBy>
  <cp:revision>2</cp:revision>
  <dcterms:created xsi:type="dcterms:W3CDTF">2018-09-05T23:57:00Z</dcterms:created>
  <dcterms:modified xsi:type="dcterms:W3CDTF">2018-09-05T23:57:00Z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