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B407" w14:textId="77777777" w:rsidR="008D0012" w:rsidRDefault="008D0012" w:rsidP="009A5E87">
      <w:pPr>
        <w:pStyle w:val="xmsonormal"/>
        <w:jc w:val="both"/>
        <w:rPr>
          <w:rFonts w:ascii="Calibri" w:hAnsi="Calibri" w:cs="Calibri"/>
          <w:b/>
          <w:bCs/>
        </w:rPr>
      </w:pPr>
    </w:p>
    <w:p w14:paraId="2391D619" w14:textId="0814170B" w:rsidR="009A5E87" w:rsidRPr="008D0012" w:rsidRDefault="009A5E87" w:rsidP="008D0012">
      <w:pPr>
        <w:pStyle w:val="xmsonormal"/>
        <w:rPr>
          <w:rFonts w:ascii="Arial" w:hAnsi="Arial" w:cs="Arial"/>
          <w:b/>
          <w:bCs/>
          <w:sz w:val="20"/>
          <w:szCs w:val="20"/>
        </w:rPr>
      </w:pPr>
      <w:r w:rsidRPr="008D0012">
        <w:rPr>
          <w:rFonts w:ascii="Arial" w:hAnsi="Arial" w:cs="Arial"/>
          <w:b/>
          <w:bCs/>
          <w:sz w:val="20"/>
          <w:szCs w:val="20"/>
        </w:rPr>
        <w:t>Patients’ Perspectives on An Integrated mHealth and Health Coaching Model to Support Patient Empowerment in Type 2 Diabetes: A Qualitative Study in a Multiethnic Community</w:t>
      </w:r>
    </w:p>
    <w:p w14:paraId="2CCF3534" w14:textId="77777777" w:rsidR="009A5E87" w:rsidRPr="008D0012" w:rsidRDefault="009A5E87" w:rsidP="008D0012">
      <w:pPr>
        <w:pStyle w:val="xmsonormal"/>
        <w:rPr>
          <w:rFonts w:ascii="Arial" w:hAnsi="Arial" w:cs="Arial"/>
          <w:b/>
          <w:bCs/>
          <w:sz w:val="20"/>
          <w:szCs w:val="20"/>
        </w:rPr>
      </w:pPr>
      <w:r w:rsidRPr="008D0012">
        <w:rPr>
          <w:rFonts w:ascii="Arial" w:hAnsi="Arial" w:cs="Arial"/>
          <w:b/>
          <w:bCs/>
          <w:sz w:val="20"/>
          <w:szCs w:val="20"/>
          <w:lang w:val="en-GB"/>
        </w:rPr>
        <w:t> </w:t>
      </w:r>
    </w:p>
    <w:p w14:paraId="2438E79B" w14:textId="77777777" w:rsidR="009A5E87" w:rsidRPr="008D0012" w:rsidRDefault="009A5E87" w:rsidP="008D0012">
      <w:pPr>
        <w:pStyle w:val="xmsonormal"/>
        <w:rPr>
          <w:rFonts w:ascii="Arial" w:hAnsi="Arial" w:cs="Arial"/>
          <w:sz w:val="20"/>
          <w:szCs w:val="20"/>
        </w:rPr>
      </w:pPr>
      <w:r w:rsidRPr="008D0012">
        <w:rPr>
          <w:rFonts w:ascii="Arial" w:hAnsi="Arial" w:cs="Arial"/>
          <w:b/>
          <w:bCs/>
          <w:sz w:val="20"/>
          <w:szCs w:val="20"/>
          <w:lang w:val="en-US"/>
        </w:rPr>
        <w:t>Abstract</w:t>
      </w:r>
    </w:p>
    <w:p w14:paraId="3619E560" w14:textId="77777777" w:rsidR="009A5E87" w:rsidRPr="008D0012" w:rsidRDefault="009A5E87" w:rsidP="008D0012">
      <w:pPr>
        <w:pStyle w:val="xmsonormal"/>
        <w:rPr>
          <w:rFonts w:ascii="Arial" w:hAnsi="Arial" w:cs="Arial"/>
          <w:sz w:val="20"/>
          <w:szCs w:val="20"/>
        </w:rPr>
      </w:pPr>
      <w:r w:rsidRPr="008D0012">
        <w:rPr>
          <w:rFonts w:ascii="Arial" w:hAnsi="Arial" w:cs="Arial"/>
          <w:b/>
          <w:bCs/>
          <w:sz w:val="20"/>
          <w:szCs w:val="20"/>
          <w:lang w:val="en-US"/>
        </w:rPr>
        <w:t xml:space="preserve">Background &amp; Aim: </w:t>
      </w:r>
    </w:p>
    <w:p w14:paraId="1A8152F8"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rPr>
        <w:t>mHealth is increasingly used to support type 2 diabetes mellitus (T2DM) self-management, but sustaining long-term engagement remains challenging. Integrating mHealth with human support may strengthen patient empowerment, motivation, and accountability. The EMPOWER-COMMUNITY care model integrates the EMPOWER+ app with health coaching delivered by community nurses and wellbeing coordinators in community settings, where EMPOWER+ uses AI for lifestyle tracking, personalised nudges, health educational resources, progress summaries, and rewards. This study explored patients’ experiences and how this care model supported self-management in practice.</w:t>
      </w:r>
    </w:p>
    <w:p w14:paraId="6E58A552"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lang w:val="en-GB"/>
        </w:rPr>
        <w:t> </w:t>
      </w:r>
    </w:p>
    <w:p w14:paraId="647120E6" w14:textId="77777777" w:rsidR="009A5E87" w:rsidRPr="008D0012" w:rsidRDefault="009A5E87" w:rsidP="008D0012">
      <w:pPr>
        <w:pStyle w:val="xmsonormal"/>
        <w:rPr>
          <w:rFonts w:ascii="Arial" w:hAnsi="Arial" w:cs="Arial"/>
          <w:sz w:val="20"/>
          <w:szCs w:val="20"/>
        </w:rPr>
      </w:pPr>
      <w:r w:rsidRPr="008D0012">
        <w:rPr>
          <w:rFonts w:ascii="Arial" w:hAnsi="Arial" w:cs="Arial"/>
          <w:b/>
          <w:bCs/>
          <w:sz w:val="20"/>
          <w:szCs w:val="20"/>
          <w:lang w:val="en-US"/>
        </w:rPr>
        <w:t xml:space="preserve">Methods: </w:t>
      </w:r>
    </w:p>
    <w:p w14:paraId="53BE4E35" w14:textId="52F2DD62" w:rsidR="009A5E87" w:rsidRPr="008D0012" w:rsidRDefault="009A5E87" w:rsidP="008D0012">
      <w:pPr>
        <w:pStyle w:val="xmsonormal"/>
        <w:rPr>
          <w:rFonts w:ascii="Arial" w:hAnsi="Arial" w:cs="Arial"/>
          <w:sz w:val="20"/>
          <w:szCs w:val="20"/>
        </w:rPr>
      </w:pPr>
      <w:r w:rsidRPr="008D0012">
        <w:rPr>
          <w:rFonts w:ascii="Arial" w:hAnsi="Arial" w:cs="Arial"/>
          <w:sz w:val="20"/>
          <w:szCs w:val="20"/>
        </w:rPr>
        <w:t>Semi-structured interviews were conducted with 16 adults with T2DM who had used both components of EMPOWER-COMMUNITY for at least six months. Interviews explored participants’ experiences, perceived benefits and challenges, as well as suggestions for improvement. Interviews were audio-recorded, transcribed verbatim, and analysed using reflexive thematic analysis.</w:t>
      </w:r>
    </w:p>
    <w:p w14:paraId="53372B5E"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lang w:val="en-GB"/>
        </w:rPr>
        <w:t> </w:t>
      </w:r>
    </w:p>
    <w:p w14:paraId="43D874F3" w14:textId="527453C3" w:rsidR="009A5E87" w:rsidRPr="008D0012" w:rsidRDefault="009A5E87" w:rsidP="008D0012">
      <w:pPr>
        <w:pStyle w:val="xmsonormal"/>
        <w:rPr>
          <w:rFonts w:ascii="Arial" w:hAnsi="Arial" w:cs="Arial"/>
          <w:sz w:val="20"/>
          <w:szCs w:val="20"/>
        </w:rPr>
      </w:pPr>
      <w:r w:rsidRPr="008D0012">
        <w:rPr>
          <w:rFonts w:ascii="Arial" w:hAnsi="Arial" w:cs="Arial"/>
          <w:b/>
          <w:bCs/>
          <w:sz w:val="20"/>
          <w:szCs w:val="20"/>
          <w:lang w:val="en-US"/>
        </w:rPr>
        <w:t xml:space="preserve">Results: </w:t>
      </w:r>
    </w:p>
    <w:p w14:paraId="1BBE77FA"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rPr>
        <w:t xml:space="preserve">Participants generally viewed EMPOWER-COMMUNITY positively. The mobile application supported self-monitoring of behaviours such as diets and physical </w:t>
      </w:r>
      <w:proofErr w:type="gramStart"/>
      <w:r w:rsidRPr="008D0012">
        <w:rPr>
          <w:rFonts w:ascii="Arial" w:hAnsi="Arial" w:cs="Arial"/>
          <w:sz w:val="20"/>
          <w:szCs w:val="20"/>
        </w:rPr>
        <w:t>activity;</w:t>
      </w:r>
      <w:proofErr w:type="gramEnd"/>
      <w:r w:rsidRPr="008D0012">
        <w:rPr>
          <w:rFonts w:ascii="Arial" w:hAnsi="Arial" w:cs="Arial"/>
          <w:sz w:val="20"/>
          <w:szCs w:val="20"/>
        </w:rPr>
        <w:t xml:space="preserve"> while health coaching provided personalised education and guidance to support patient empowerment. Many participants reported increased awareness of their daily lifestyle and greater confidence in self-management. Several participants noted that knowing that a health coach might review their progress encouraged them to be more mindful of their choices.</w:t>
      </w:r>
    </w:p>
    <w:p w14:paraId="750D80DE"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lang w:val="en-GB"/>
        </w:rPr>
        <w:t> </w:t>
      </w:r>
    </w:p>
    <w:p w14:paraId="2215B6B1"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rPr>
        <w:t>However, the perceived usefulness varied across individuals. Participants with long-standing diabetes or higher baseline knowledge sometimes felt coaching added limited value when discussions focused mainly on information they already knew. Practical barriers included scheduling difficulties and technical limitations such as accuracy of food logging within the app.</w:t>
      </w:r>
    </w:p>
    <w:p w14:paraId="360E6976"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rPr>
        <w:t> </w:t>
      </w:r>
    </w:p>
    <w:p w14:paraId="00612A08" w14:textId="28A72DE8" w:rsidR="009A5E87" w:rsidRPr="008D0012" w:rsidRDefault="009A5E87" w:rsidP="008D0012">
      <w:pPr>
        <w:pStyle w:val="xmsonormal"/>
        <w:rPr>
          <w:rFonts w:ascii="Arial" w:hAnsi="Arial" w:cs="Arial"/>
          <w:sz w:val="20"/>
          <w:szCs w:val="20"/>
        </w:rPr>
      </w:pPr>
      <w:r w:rsidRPr="008D0012">
        <w:rPr>
          <w:rFonts w:ascii="Arial" w:hAnsi="Arial" w:cs="Arial"/>
          <w:sz w:val="20"/>
          <w:szCs w:val="20"/>
        </w:rPr>
        <w:t>Participants suggested that the model may be most effective when tailored to individual needs and readiness for change, and when extended beyond medical information to address broader lifestyle and wellbeing issues.</w:t>
      </w:r>
    </w:p>
    <w:p w14:paraId="67480150" w14:textId="77777777" w:rsidR="009A5E87" w:rsidRPr="008D0012" w:rsidRDefault="009A5E87" w:rsidP="008D0012">
      <w:pPr>
        <w:pStyle w:val="xmsonormal"/>
        <w:rPr>
          <w:rFonts w:ascii="Arial" w:hAnsi="Arial" w:cs="Arial"/>
          <w:sz w:val="20"/>
          <w:szCs w:val="20"/>
        </w:rPr>
      </w:pPr>
      <w:r w:rsidRPr="008D0012">
        <w:rPr>
          <w:rFonts w:ascii="Arial" w:hAnsi="Arial" w:cs="Arial"/>
          <w:sz w:val="20"/>
          <w:szCs w:val="20"/>
        </w:rPr>
        <w:t> </w:t>
      </w:r>
    </w:p>
    <w:p w14:paraId="68C8EE09" w14:textId="77777777" w:rsidR="009A5E87" w:rsidRPr="008D0012" w:rsidRDefault="009A5E87" w:rsidP="008D0012">
      <w:pPr>
        <w:pStyle w:val="xmsonormal"/>
        <w:rPr>
          <w:rFonts w:ascii="Arial" w:hAnsi="Arial" w:cs="Arial"/>
          <w:sz w:val="20"/>
          <w:szCs w:val="20"/>
        </w:rPr>
      </w:pPr>
      <w:r w:rsidRPr="008D0012">
        <w:rPr>
          <w:rFonts w:ascii="Arial" w:hAnsi="Arial" w:cs="Arial"/>
          <w:b/>
          <w:bCs/>
          <w:sz w:val="20"/>
          <w:szCs w:val="20"/>
          <w:lang w:val="en-US"/>
        </w:rPr>
        <w:t xml:space="preserve">Discussion / Conclusion: </w:t>
      </w:r>
    </w:p>
    <w:p w14:paraId="58240A80" w14:textId="77777777" w:rsidR="005E5EC9" w:rsidRPr="008D0012" w:rsidRDefault="009A5E87" w:rsidP="008D0012">
      <w:pPr>
        <w:pStyle w:val="xmsonormal"/>
        <w:rPr>
          <w:rFonts w:ascii="Arial" w:hAnsi="Arial" w:cs="Arial"/>
          <w:sz w:val="20"/>
          <w:szCs w:val="20"/>
        </w:rPr>
      </w:pPr>
      <w:r w:rsidRPr="008D0012">
        <w:rPr>
          <w:rFonts w:ascii="Arial" w:hAnsi="Arial" w:cs="Arial"/>
          <w:sz w:val="20"/>
          <w:szCs w:val="20"/>
        </w:rPr>
        <w:t xml:space="preserve">These findings highlight practical considerations for implementing mHealth and human support in diabetes </w:t>
      </w:r>
      <w:proofErr w:type="gramStart"/>
      <w:r w:rsidRPr="008D0012">
        <w:rPr>
          <w:rFonts w:ascii="Arial" w:hAnsi="Arial" w:cs="Arial"/>
          <w:sz w:val="20"/>
          <w:szCs w:val="20"/>
        </w:rPr>
        <w:t>care, and</w:t>
      </w:r>
      <w:proofErr w:type="gramEnd"/>
      <w:r w:rsidRPr="008D0012">
        <w:rPr>
          <w:rFonts w:ascii="Arial" w:hAnsi="Arial" w:cs="Arial"/>
          <w:sz w:val="20"/>
          <w:szCs w:val="20"/>
        </w:rPr>
        <w:t xml:space="preserve"> may offer insights for designing more responsive and patient-centred care models in routine practice.</w:t>
      </w:r>
    </w:p>
    <w:p w14:paraId="655553CE" w14:textId="6F847DCB" w:rsidR="00067713" w:rsidRPr="008D0012" w:rsidRDefault="00067713" w:rsidP="008D0012">
      <w:pPr>
        <w:pStyle w:val="xmsonormal"/>
        <w:rPr>
          <w:rFonts w:ascii="Arial" w:hAnsi="Arial" w:cs="Arial"/>
          <w:sz w:val="20"/>
          <w:szCs w:val="20"/>
        </w:rPr>
      </w:pPr>
    </w:p>
    <w:sectPr w:rsidR="00067713" w:rsidRPr="008D00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0NjMwNDI1MzAzMjNV0lEKTi0uzszPAykwrgUAp82I5ywAAAA="/>
  </w:docVars>
  <w:rsids>
    <w:rsidRoot w:val="008E72CB"/>
    <w:rsid w:val="00016758"/>
    <w:rsid w:val="000566DF"/>
    <w:rsid w:val="00056F1E"/>
    <w:rsid w:val="00057CC6"/>
    <w:rsid w:val="000626AA"/>
    <w:rsid w:val="00064395"/>
    <w:rsid w:val="00067713"/>
    <w:rsid w:val="000B3442"/>
    <w:rsid w:val="000C7558"/>
    <w:rsid w:val="0011197E"/>
    <w:rsid w:val="0013256C"/>
    <w:rsid w:val="00135581"/>
    <w:rsid w:val="00153BE7"/>
    <w:rsid w:val="00164C78"/>
    <w:rsid w:val="001B34DD"/>
    <w:rsid w:val="001E613C"/>
    <w:rsid w:val="002552A8"/>
    <w:rsid w:val="0025636A"/>
    <w:rsid w:val="0029487E"/>
    <w:rsid w:val="002A7A5B"/>
    <w:rsid w:val="002B65DA"/>
    <w:rsid w:val="002B6B1A"/>
    <w:rsid w:val="002B71FE"/>
    <w:rsid w:val="003305CE"/>
    <w:rsid w:val="0033370A"/>
    <w:rsid w:val="00346112"/>
    <w:rsid w:val="00347ECF"/>
    <w:rsid w:val="00373D4A"/>
    <w:rsid w:val="003A563B"/>
    <w:rsid w:val="003C050D"/>
    <w:rsid w:val="003C3A0D"/>
    <w:rsid w:val="003F1FC8"/>
    <w:rsid w:val="003F211B"/>
    <w:rsid w:val="00403827"/>
    <w:rsid w:val="00405C76"/>
    <w:rsid w:val="00427EE6"/>
    <w:rsid w:val="0045323C"/>
    <w:rsid w:val="00483EA7"/>
    <w:rsid w:val="00492302"/>
    <w:rsid w:val="004C3588"/>
    <w:rsid w:val="004C7E67"/>
    <w:rsid w:val="004E3E76"/>
    <w:rsid w:val="004F2D4F"/>
    <w:rsid w:val="004F416D"/>
    <w:rsid w:val="00504DF6"/>
    <w:rsid w:val="00527877"/>
    <w:rsid w:val="00580728"/>
    <w:rsid w:val="00584389"/>
    <w:rsid w:val="005A4B6C"/>
    <w:rsid w:val="005D3F8F"/>
    <w:rsid w:val="005E5EC9"/>
    <w:rsid w:val="006120E7"/>
    <w:rsid w:val="00646BDA"/>
    <w:rsid w:val="00660EAC"/>
    <w:rsid w:val="006831E1"/>
    <w:rsid w:val="00697319"/>
    <w:rsid w:val="006A265D"/>
    <w:rsid w:val="006C1976"/>
    <w:rsid w:val="006C6BDE"/>
    <w:rsid w:val="006D2100"/>
    <w:rsid w:val="0070067C"/>
    <w:rsid w:val="00707780"/>
    <w:rsid w:val="00721C9C"/>
    <w:rsid w:val="00723817"/>
    <w:rsid w:val="00743FEF"/>
    <w:rsid w:val="00756A6B"/>
    <w:rsid w:val="00776331"/>
    <w:rsid w:val="007C2E43"/>
    <w:rsid w:val="007D1B58"/>
    <w:rsid w:val="007E20B0"/>
    <w:rsid w:val="007E4336"/>
    <w:rsid w:val="007F3B19"/>
    <w:rsid w:val="0082748C"/>
    <w:rsid w:val="00853012"/>
    <w:rsid w:val="0088209D"/>
    <w:rsid w:val="008A5947"/>
    <w:rsid w:val="008A596D"/>
    <w:rsid w:val="008C70ED"/>
    <w:rsid w:val="008D0012"/>
    <w:rsid w:val="008E72CB"/>
    <w:rsid w:val="008F5677"/>
    <w:rsid w:val="0090167F"/>
    <w:rsid w:val="00921C08"/>
    <w:rsid w:val="009253E3"/>
    <w:rsid w:val="009269F7"/>
    <w:rsid w:val="00933D90"/>
    <w:rsid w:val="009457E6"/>
    <w:rsid w:val="00994538"/>
    <w:rsid w:val="00995341"/>
    <w:rsid w:val="009A5E87"/>
    <w:rsid w:val="009C1BD2"/>
    <w:rsid w:val="009C3303"/>
    <w:rsid w:val="009C3F24"/>
    <w:rsid w:val="009D12EE"/>
    <w:rsid w:val="009E777B"/>
    <w:rsid w:val="009F6E38"/>
    <w:rsid w:val="00A0363E"/>
    <w:rsid w:val="00A30953"/>
    <w:rsid w:val="00A403F2"/>
    <w:rsid w:val="00A43A60"/>
    <w:rsid w:val="00A62193"/>
    <w:rsid w:val="00A6582F"/>
    <w:rsid w:val="00A87126"/>
    <w:rsid w:val="00A90F9A"/>
    <w:rsid w:val="00AB3D3D"/>
    <w:rsid w:val="00AC0D1B"/>
    <w:rsid w:val="00AC6C9A"/>
    <w:rsid w:val="00AF3A53"/>
    <w:rsid w:val="00AF6F44"/>
    <w:rsid w:val="00B03ABA"/>
    <w:rsid w:val="00B14BDF"/>
    <w:rsid w:val="00B3763B"/>
    <w:rsid w:val="00B5262A"/>
    <w:rsid w:val="00B5306E"/>
    <w:rsid w:val="00B55033"/>
    <w:rsid w:val="00C4282C"/>
    <w:rsid w:val="00C6510E"/>
    <w:rsid w:val="00C66ADD"/>
    <w:rsid w:val="00CD0FF0"/>
    <w:rsid w:val="00CE778F"/>
    <w:rsid w:val="00CF01DC"/>
    <w:rsid w:val="00CF33B4"/>
    <w:rsid w:val="00CF37E2"/>
    <w:rsid w:val="00CF49CD"/>
    <w:rsid w:val="00CF5940"/>
    <w:rsid w:val="00D52BC5"/>
    <w:rsid w:val="00D53478"/>
    <w:rsid w:val="00D53D92"/>
    <w:rsid w:val="00D65DF8"/>
    <w:rsid w:val="00DB0C92"/>
    <w:rsid w:val="00DF2B1F"/>
    <w:rsid w:val="00DF37C1"/>
    <w:rsid w:val="00DF5669"/>
    <w:rsid w:val="00E26530"/>
    <w:rsid w:val="00E424B6"/>
    <w:rsid w:val="00EF0987"/>
    <w:rsid w:val="00EF3C90"/>
    <w:rsid w:val="00F10387"/>
    <w:rsid w:val="00F10666"/>
    <w:rsid w:val="00F4752A"/>
    <w:rsid w:val="00FA02F9"/>
    <w:rsid w:val="00FA49A3"/>
    <w:rsid w:val="00FC7797"/>
    <w:rsid w:val="00FD2CA8"/>
    <w:rsid w:val="00FD7E70"/>
    <w:rsid w:val="0EA264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D52A"/>
  <w15:chartTrackingRefBased/>
  <w15:docId w15:val="{A5281B56-3B65-4089-AA6E-28E45CEC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KaiTi" w:hAnsi="Calibri" w:cs="Malgun Gothic"/>
        <w:color w:val="333333"/>
        <w:kern w:val="2"/>
        <w:sz w:val="24"/>
        <w:szCs w:val="30"/>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E7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2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72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2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2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2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C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E72C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E72CB"/>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E72CB"/>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E72CB"/>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8E72CB"/>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E72CB"/>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E72CB"/>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E72CB"/>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E72C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E72CB"/>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8E72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CB"/>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E72CB"/>
    <w:pPr>
      <w:spacing w:before="160"/>
      <w:jc w:val="center"/>
    </w:pPr>
    <w:rPr>
      <w:i/>
      <w:iCs/>
      <w:color w:val="404040" w:themeColor="text1" w:themeTint="BF"/>
    </w:rPr>
  </w:style>
  <w:style w:type="character" w:customStyle="1" w:styleId="QuoteChar">
    <w:name w:val="Quote Char"/>
    <w:basedOn w:val="DefaultParagraphFont"/>
    <w:link w:val="Quote"/>
    <w:uiPriority w:val="29"/>
    <w:rsid w:val="008E72CB"/>
    <w:rPr>
      <w:i/>
      <w:iCs/>
      <w:color w:val="404040" w:themeColor="text1" w:themeTint="BF"/>
      <w:lang w:val="en-GB"/>
    </w:rPr>
  </w:style>
  <w:style w:type="paragraph" w:styleId="ListParagraph">
    <w:name w:val="List Paragraph"/>
    <w:basedOn w:val="Normal"/>
    <w:uiPriority w:val="34"/>
    <w:qFormat/>
    <w:rsid w:val="008E72CB"/>
    <w:pPr>
      <w:ind w:left="720"/>
      <w:contextualSpacing/>
    </w:pPr>
  </w:style>
  <w:style w:type="character" w:styleId="IntenseEmphasis">
    <w:name w:val="Intense Emphasis"/>
    <w:basedOn w:val="DefaultParagraphFont"/>
    <w:uiPriority w:val="21"/>
    <w:qFormat/>
    <w:rsid w:val="008E72CB"/>
    <w:rPr>
      <w:i/>
      <w:iCs/>
      <w:color w:val="0F4761" w:themeColor="accent1" w:themeShade="BF"/>
    </w:rPr>
  </w:style>
  <w:style w:type="paragraph" w:styleId="IntenseQuote">
    <w:name w:val="Intense Quote"/>
    <w:basedOn w:val="Normal"/>
    <w:next w:val="Normal"/>
    <w:link w:val="IntenseQuoteChar"/>
    <w:uiPriority w:val="30"/>
    <w:qFormat/>
    <w:rsid w:val="008E7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CB"/>
    <w:rPr>
      <w:i/>
      <w:iCs/>
      <w:color w:val="0F4761" w:themeColor="accent1" w:themeShade="BF"/>
      <w:lang w:val="en-GB"/>
    </w:rPr>
  </w:style>
  <w:style w:type="character" w:styleId="IntenseReference">
    <w:name w:val="Intense Reference"/>
    <w:basedOn w:val="DefaultParagraphFont"/>
    <w:uiPriority w:val="32"/>
    <w:qFormat/>
    <w:rsid w:val="008E72CB"/>
    <w:rPr>
      <w:b/>
      <w:bCs/>
      <w:smallCaps/>
      <w:color w:val="0F4761" w:themeColor="accent1" w:themeShade="BF"/>
      <w:spacing w:val="5"/>
    </w:rPr>
  </w:style>
  <w:style w:type="paragraph" w:styleId="NormalWeb">
    <w:name w:val="Normal (Web)"/>
    <w:basedOn w:val="Normal"/>
    <w:uiPriority w:val="99"/>
    <w:semiHidden/>
    <w:unhideWhenUsed/>
    <w:rsid w:val="001E613C"/>
    <w:pPr>
      <w:spacing w:before="100" w:beforeAutospacing="1" w:after="100" w:afterAutospacing="1" w:line="240" w:lineRule="auto"/>
    </w:pPr>
    <w:rPr>
      <w:rFonts w:ascii="Times New Roman" w:eastAsia="Times New Roman" w:hAnsi="Times New Roman" w:cs="Times New Roman"/>
      <w:color w:val="auto"/>
      <w:kern w:val="0"/>
      <w:szCs w:val="24"/>
      <w:lang w:val="en-SG"/>
    </w:rPr>
  </w:style>
  <w:style w:type="character" w:styleId="Strong">
    <w:name w:val="Strong"/>
    <w:basedOn w:val="DefaultParagraphFont"/>
    <w:uiPriority w:val="22"/>
    <w:qFormat/>
    <w:rsid w:val="00D65DF8"/>
    <w:rPr>
      <w:b/>
      <w:bCs/>
    </w:rPr>
  </w:style>
  <w:style w:type="paragraph" w:styleId="Revision">
    <w:name w:val="Revision"/>
    <w:hidden/>
    <w:uiPriority w:val="99"/>
    <w:semiHidden/>
    <w:rsid w:val="00405C76"/>
    <w:pPr>
      <w:spacing w:after="0" w:line="240" w:lineRule="auto"/>
    </w:pPr>
    <w:rPr>
      <w:lang w:val="en-GB"/>
    </w:rPr>
  </w:style>
  <w:style w:type="paragraph" w:customStyle="1" w:styleId="xmsonormal">
    <w:name w:val="x_msonormal"/>
    <w:basedOn w:val="Normal"/>
    <w:rsid w:val="009A5E87"/>
    <w:pPr>
      <w:spacing w:after="0" w:line="240" w:lineRule="auto"/>
    </w:pPr>
    <w:rPr>
      <w:rFonts w:ascii="Aptos" w:eastAsiaTheme="minorEastAsia" w:hAnsi="Aptos" w:cs="Aptos"/>
      <w:color w:val="auto"/>
      <w:kern w:val="0"/>
      <w:szCs w:val="24"/>
      <w:lang w:val="en-SG"/>
    </w:rPr>
  </w:style>
  <w:style w:type="table" w:styleId="TableGrid">
    <w:name w:val="Table Grid"/>
    <w:basedOn w:val="TableNormal"/>
    <w:uiPriority w:val="39"/>
    <w:rsid w:val="00C6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5A946-AAE5-4983-9E60-F324D88E42EF}">
  <ds:schemaRefs>
    <ds:schemaRef ds:uri="http://schemas.openxmlformats.org/officeDocument/2006/bibliography"/>
  </ds:schemaRefs>
</ds:datastoreItem>
</file>

<file path=customXml/itemProps2.xml><?xml version="1.0" encoding="utf-8"?>
<ds:datastoreItem xmlns:ds="http://schemas.openxmlformats.org/officeDocument/2006/customXml" ds:itemID="{E7D12B79-F87E-4877-94A1-152C46C82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A3C39-34F8-4125-A96C-B36822E3AF15}">
  <ds:schemaRefs>
    <ds:schemaRef ds:uri="http://schemas.microsoft.com/sharepoint/v3/contenttype/forms"/>
  </ds:schemaRefs>
</ds:datastoreItem>
</file>

<file path=customXml/itemProps4.xml><?xml version="1.0" encoding="utf-8"?>
<ds:datastoreItem xmlns:ds="http://schemas.openxmlformats.org/officeDocument/2006/customXml" ds:itemID="{2B09F7FF-8ED7-44D3-B4BE-FD5A238A9B67}">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B8088</dc:creator>
  <cp:keywords/>
  <dc:description/>
  <cp:lastModifiedBy>Tanya Yandall</cp:lastModifiedBy>
  <cp:revision>3</cp:revision>
  <dcterms:created xsi:type="dcterms:W3CDTF">2026-03-18T01:43:00Z</dcterms:created>
  <dcterms:modified xsi:type="dcterms:W3CDTF">2026-03-18T01:44:00Z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