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4"/>
      </w:tblGrid>
      <w:tr w:rsidR="006D4713" w:rsidRPr="0050053A" w14:paraId="6C68AC80" w14:textId="77777777" w:rsidTr="00032459">
        <w:trPr>
          <w:trHeight w:val="966"/>
          <w:jc w:val="center"/>
        </w:trPr>
        <w:tc>
          <w:tcPr>
            <w:tcW w:w="8834" w:type="dxa"/>
            <w:shd w:val="clear" w:color="auto" w:fill="auto"/>
          </w:tcPr>
          <w:p w14:paraId="6C68AC7F" w14:textId="39D3F6D8" w:rsidR="006D4713" w:rsidRPr="0050053A" w:rsidRDefault="00032459" w:rsidP="009C1987">
            <w:pPr>
              <w:spacing w:before="120" w:after="120"/>
              <w:rPr>
                <w:rFonts w:ascii="Arial" w:hAnsi="Arial" w:cs="Arial"/>
                <w:b/>
                <w:sz w:val="22"/>
                <w:szCs w:val="22"/>
                <w:lang w:val="en-US" w:eastAsia="zh-CN"/>
              </w:rPr>
            </w:pPr>
            <w:r w:rsidRPr="00032459">
              <w:rPr>
                <w:rFonts w:ascii="Arial" w:hAnsi="Arial" w:cs="Arial"/>
                <w:b/>
                <w:sz w:val="22"/>
                <w:szCs w:val="22"/>
                <w:lang w:val="en-US" w:eastAsia="en-GB"/>
              </w:rPr>
              <w:t>Significant carbon savings associated with the reuse of metered dose inhalers in lung function laboratories</w:t>
            </w:r>
          </w:p>
        </w:tc>
      </w:tr>
      <w:tr w:rsidR="006D4713" w:rsidRPr="0050053A" w14:paraId="6C68AC82" w14:textId="77777777" w:rsidTr="00032459">
        <w:trPr>
          <w:trHeight w:val="966"/>
          <w:jc w:val="center"/>
        </w:trPr>
        <w:tc>
          <w:tcPr>
            <w:tcW w:w="8834" w:type="dxa"/>
            <w:shd w:val="clear" w:color="auto" w:fill="auto"/>
          </w:tcPr>
          <w:p w14:paraId="6C68AC81" w14:textId="084F52DF" w:rsidR="006D4713" w:rsidRPr="00032459" w:rsidRDefault="00032459" w:rsidP="009C1987">
            <w:pPr>
              <w:spacing w:before="120" w:after="120"/>
              <w:rPr>
                <w:rFonts w:ascii="Arial" w:hAnsi="Arial" w:cs="Arial"/>
                <w:i/>
                <w:sz w:val="22"/>
                <w:szCs w:val="22"/>
                <w:u w:val="single"/>
                <w:lang w:eastAsia="zh-CN"/>
              </w:rPr>
            </w:pPr>
            <w:r>
              <w:rPr>
                <w:rFonts w:ascii="Arial" w:hAnsi="Arial" w:cs="Arial"/>
                <w:i/>
                <w:sz w:val="22"/>
                <w:szCs w:val="22"/>
                <w:lang w:val="en-US" w:eastAsia="en-GB"/>
              </w:rPr>
              <w:t>Michael J Loftus</w:t>
            </w:r>
            <w:r w:rsidR="006D4713" w:rsidRPr="0050053A">
              <w:rPr>
                <w:rFonts w:ascii="Arial" w:hAnsi="Arial" w:cs="Arial"/>
                <w:i/>
                <w:sz w:val="22"/>
                <w:szCs w:val="22"/>
                <w:vertAlign w:val="superscript"/>
                <w:lang w:val="en-US" w:eastAsia="en-GB"/>
              </w:rPr>
              <w:t>1</w:t>
            </w:r>
            <w:bookmarkStart w:id="0" w:name="Text8"/>
            <w:r w:rsidR="006D4713" w:rsidRPr="0050053A">
              <w:rPr>
                <w:rFonts w:ascii="Arial" w:hAnsi="Arial" w:cs="Arial"/>
                <w:i/>
                <w:sz w:val="22"/>
                <w:szCs w:val="22"/>
                <w:lang w:val="en-US" w:eastAsia="en-GB"/>
              </w:rPr>
              <w:t>,</w:t>
            </w:r>
            <w:bookmarkEnd w:id="0"/>
            <w:r>
              <w:rPr>
                <w:rFonts w:ascii="Arial" w:hAnsi="Arial" w:cs="Arial"/>
                <w:i/>
                <w:sz w:val="22"/>
                <w:szCs w:val="22"/>
                <w:lang w:val="en-US" w:eastAsia="en-GB"/>
              </w:rPr>
              <w:t xml:space="preserve"> Jayne Roberts</w:t>
            </w:r>
            <w:r w:rsidR="006D4713" w:rsidRPr="0050053A">
              <w:rPr>
                <w:rFonts w:ascii="Arial" w:hAnsi="Arial" w:cs="Arial"/>
                <w:i/>
                <w:sz w:val="22"/>
                <w:szCs w:val="22"/>
                <w:vertAlign w:val="superscript"/>
                <w:lang w:val="en-US" w:eastAsia="en-GB"/>
              </w:rPr>
              <w:t>2</w:t>
            </w:r>
            <w:r w:rsidR="006D4713" w:rsidRPr="0050053A">
              <w:rPr>
                <w:rFonts w:ascii="Arial" w:hAnsi="Arial" w:cs="Arial"/>
                <w:i/>
                <w:sz w:val="22"/>
                <w:szCs w:val="22"/>
                <w:lang w:val="en-US" w:eastAsia="en-GB"/>
              </w:rPr>
              <w:t>,</w:t>
            </w:r>
            <w:r>
              <w:rPr>
                <w:rFonts w:ascii="Arial" w:hAnsi="Arial" w:cs="Arial"/>
                <w:i/>
                <w:sz w:val="22"/>
                <w:szCs w:val="22"/>
                <w:lang w:val="en-US" w:eastAsia="en-GB"/>
              </w:rPr>
              <w:t xml:space="preserve"> Nicholas Romeo</w:t>
            </w:r>
            <w:r w:rsidR="006D4713" w:rsidRPr="0050053A">
              <w:rPr>
                <w:rFonts w:ascii="Arial" w:hAnsi="Arial" w:cs="Arial"/>
                <w:i/>
                <w:sz w:val="22"/>
                <w:szCs w:val="22"/>
                <w:vertAlign w:val="superscript"/>
                <w:lang w:val="en-US" w:eastAsia="en-GB"/>
              </w:rPr>
              <w:t>3</w:t>
            </w:r>
            <w:r w:rsidR="006D4713" w:rsidRPr="0050053A">
              <w:rPr>
                <w:rFonts w:ascii="Arial" w:hAnsi="Arial" w:cs="Arial"/>
                <w:i/>
                <w:sz w:val="22"/>
                <w:szCs w:val="22"/>
                <w:lang w:val="en-US" w:eastAsia="en-GB"/>
              </w:rPr>
              <w:t>,</w:t>
            </w:r>
            <w:r>
              <w:rPr>
                <w:rFonts w:ascii="Arial" w:hAnsi="Arial" w:cs="Arial"/>
                <w:i/>
                <w:sz w:val="22"/>
                <w:szCs w:val="22"/>
                <w:lang w:val="en-US" w:eastAsia="en-GB"/>
              </w:rPr>
              <w:t xml:space="preserve"> Pam Matsas</w:t>
            </w:r>
            <w:r>
              <w:rPr>
                <w:rFonts w:ascii="Arial" w:hAnsi="Arial" w:cs="Arial"/>
                <w:i/>
                <w:sz w:val="22"/>
                <w:szCs w:val="22"/>
                <w:vertAlign w:val="superscript"/>
                <w:lang w:val="en-US" w:eastAsia="en-GB"/>
              </w:rPr>
              <w:t>2</w:t>
            </w:r>
            <w:r w:rsidR="006D4713" w:rsidRPr="0050053A">
              <w:rPr>
                <w:rFonts w:ascii="Arial" w:hAnsi="Arial" w:cs="Arial"/>
                <w:i/>
                <w:sz w:val="22"/>
                <w:szCs w:val="22"/>
                <w:lang w:val="en-US" w:eastAsia="en-GB"/>
              </w:rPr>
              <w:t>,</w:t>
            </w:r>
            <w:r>
              <w:rPr>
                <w:rFonts w:ascii="Arial" w:hAnsi="Arial" w:cs="Arial"/>
                <w:i/>
                <w:sz w:val="22"/>
                <w:szCs w:val="22"/>
                <w:lang w:val="en-US" w:eastAsia="en-GB"/>
              </w:rPr>
              <w:t xml:space="preserve"> Karin Leder</w:t>
            </w:r>
            <w:r>
              <w:rPr>
                <w:rFonts w:ascii="Arial" w:hAnsi="Arial" w:cs="Arial"/>
                <w:i/>
                <w:sz w:val="22"/>
                <w:szCs w:val="22"/>
                <w:vertAlign w:val="superscript"/>
                <w:lang w:val="en-US" w:eastAsia="en-GB"/>
              </w:rPr>
              <w:t>1</w:t>
            </w:r>
            <w:r>
              <w:rPr>
                <w:rFonts w:ascii="Arial" w:hAnsi="Arial" w:cs="Arial"/>
                <w:i/>
                <w:sz w:val="22"/>
                <w:szCs w:val="22"/>
                <w:lang w:val="en-US" w:eastAsia="en-GB"/>
              </w:rPr>
              <w:t>, Belinda R Miller</w:t>
            </w:r>
            <w:r w:rsidR="00C52E49">
              <w:rPr>
                <w:rFonts w:ascii="Arial" w:hAnsi="Arial" w:cs="Arial"/>
                <w:i/>
                <w:sz w:val="22"/>
                <w:szCs w:val="22"/>
                <w:vertAlign w:val="superscript"/>
                <w:lang w:val="en-US" w:eastAsia="en-GB"/>
              </w:rPr>
              <w:t>2</w:t>
            </w:r>
            <w:r w:rsidRPr="00032459">
              <w:rPr>
                <w:rFonts w:ascii="Arial" w:hAnsi="Arial" w:cs="Arial"/>
                <w:i/>
                <w:sz w:val="22"/>
                <w:szCs w:val="22"/>
                <w:vertAlign w:val="superscript"/>
                <w:lang w:val="en-US" w:eastAsia="en-GB"/>
              </w:rPr>
              <w:t>,4</w:t>
            </w:r>
            <w:r>
              <w:rPr>
                <w:rFonts w:ascii="Arial" w:hAnsi="Arial" w:cs="Arial"/>
                <w:i/>
                <w:sz w:val="22"/>
                <w:szCs w:val="22"/>
                <w:lang w:val="en-US" w:eastAsia="en-GB"/>
              </w:rPr>
              <w:t>, Brigitte Borg</w:t>
            </w:r>
            <w:r w:rsidRPr="00032459">
              <w:rPr>
                <w:rFonts w:ascii="Arial" w:hAnsi="Arial" w:cs="Arial"/>
                <w:i/>
                <w:sz w:val="22"/>
                <w:szCs w:val="22"/>
                <w:vertAlign w:val="superscript"/>
                <w:lang w:val="en-US" w:eastAsia="en-GB"/>
              </w:rPr>
              <w:t>1,2</w:t>
            </w:r>
            <w:r>
              <w:rPr>
                <w:rFonts w:ascii="Arial" w:hAnsi="Arial" w:cs="Arial"/>
                <w:i/>
                <w:sz w:val="22"/>
                <w:szCs w:val="22"/>
                <w:lang w:val="en-US" w:eastAsia="en-GB"/>
              </w:rPr>
              <w:t xml:space="preserve"> </w:t>
            </w:r>
          </w:p>
        </w:tc>
      </w:tr>
      <w:tr w:rsidR="006D4713" w:rsidRPr="0050053A" w14:paraId="6C68AC88" w14:textId="77777777" w:rsidTr="00032459">
        <w:trPr>
          <w:trHeight w:val="174"/>
          <w:jc w:val="center"/>
        </w:trPr>
        <w:tc>
          <w:tcPr>
            <w:tcW w:w="8834" w:type="dxa"/>
            <w:shd w:val="clear" w:color="auto" w:fill="auto"/>
          </w:tcPr>
          <w:p w14:paraId="6C68AC83" w14:textId="42FFA340" w:rsidR="006D4713" w:rsidRPr="0050053A" w:rsidRDefault="006D4713" w:rsidP="009C1987">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032459">
              <w:t xml:space="preserve"> </w:t>
            </w:r>
            <w:r w:rsidR="00032459" w:rsidRPr="00032459">
              <w:rPr>
                <w:rFonts w:ascii="Arial" w:hAnsi="Arial" w:cs="Arial"/>
                <w:i/>
                <w:sz w:val="22"/>
                <w:szCs w:val="22"/>
                <w:lang w:val="en-US" w:eastAsia="en-GB"/>
              </w:rPr>
              <w:t>School of Public Health and Preventive Medicine, Monash University, Victoria, Australia</w:t>
            </w:r>
          </w:p>
          <w:p w14:paraId="6C68AC84" w14:textId="48603355" w:rsidR="006D4713" w:rsidRPr="0050053A" w:rsidRDefault="006D4713" w:rsidP="009C1987">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032459">
              <w:t xml:space="preserve"> </w:t>
            </w:r>
            <w:r w:rsidR="00032459" w:rsidRPr="00032459">
              <w:rPr>
                <w:rFonts w:ascii="Arial" w:hAnsi="Arial" w:cs="Arial"/>
                <w:i/>
                <w:sz w:val="22"/>
                <w:szCs w:val="22"/>
                <w:lang w:val="en-US" w:eastAsia="en-GB"/>
              </w:rPr>
              <w:t>Respiratory Medicine, Alfred Health, Victoria, Australia</w:t>
            </w:r>
          </w:p>
          <w:p w14:paraId="6C68AC85" w14:textId="10CB20BD" w:rsidR="006D4713" w:rsidRPr="0050053A" w:rsidRDefault="006D4713" w:rsidP="009C1987">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3</w:t>
            </w:r>
            <w:r w:rsidR="00032459">
              <w:t xml:space="preserve"> </w:t>
            </w:r>
            <w:r w:rsidR="00032459" w:rsidRPr="00032459">
              <w:rPr>
                <w:rFonts w:ascii="Arial" w:hAnsi="Arial" w:cs="Arial"/>
                <w:i/>
                <w:sz w:val="22"/>
                <w:szCs w:val="22"/>
                <w:lang w:val="en-US" w:eastAsia="en-GB"/>
              </w:rPr>
              <w:t>Department of Respiratory Medicine, Northern Health, Victoria, Australia</w:t>
            </w:r>
          </w:p>
          <w:p w14:paraId="6C68AC87" w14:textId="245AC454" w:rsidR="006D4713" w:rsidRPr="0050053A" w:rsidRDefault="006D4713" w:rsidP="00D02B65">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4</w:t>
            </w:r>
            <w:r w:rsidR="00032459">
              <w:t xml:space="preserve"> </w:t>
            </w:r>
            <w:r w:rsidR="00032459" w:rsidRPr="00032459">
              <w:rPr>
                <w:rFonts w:ascii="Arial" w:hAnsi="Arial" w:cs="Arial"/>
                <w:i/>
                <w:sz w:val="22"/>
                <w:szCs w:val="22"/>
                <w:lang w:val="en-US" w:eastAsia="en-GB"/>
              </w:rPr>
              <w:t>Central Clinical School, Monash University, Victoria, Australia</w:t>
            </w:r>
          </w:p>
        </w:tc>
      </w:tr>
      <w:tr w:rsidR="006D4713" w:rsidRPr="0050053A" w14:paraId="6C68ACA3" w14:textId="77777777" w:rsidTr="00032459">
        <w:trPr>
          <w:trHeight w:hRule="exact" w:val="9478"/>
          <w:jc w:val="center"/>
        </w:trPr>
        <w:tc>
          <w:tcPr>
            <w:tcW w:w="8834" w:type="dxa"/>
            <w:shd w:val="clear" w:color="auto" w:fill="auto"/>
          </w:tcPr>
          <w:p w14:paraId="6C68AC89" w14:textId="77777777" w:rsidR="006D4713" w:rsidRPr="0050053A" w:rsidRDefault="00752808" w:rsidP="009C1987">
            <w:pPr>
              <w:pStyle w:val="Pa12"/>
              <w:rPr>
                <w:rStyle w:val="A4"/>
              </w:rPr>
            </w:pPr>
            <w:r>
              <w:rPr>
                <w:rStyle w:val="A4"/>
                <w:b/>
                <w:bCs/>
              </w:rPr>
              <w:t>Introduction/</w:t>
            </w:r>
            <w:r w:rsidR="006D4713" w:rsidRPr="0050053A">
              <w:rPr>
                <w:rStyle w:val="A4"/>
                <w:b/>
                <w:bCs/>
              </w:rPr>
              <w:t xml:space="preserve">Aim: </w:t>
            </w:r>
          </w:p>
          <w:p w14:paraId="6C68AC8B" w14:textId="001C5232" w:rsidR="006D4713" w:rsidRPr="0050053A" w:rsidRDefault="00032459" w:rsidP="006D4713">
            <w:pPr>
              <w:pStyle w:val="Pa12"/>
              <w:rPr>
                <w:sz w:val="22"/>
                <w:szCs w:val="22"/>
              </w:rPr>
            </w:pPr>
            <w:r w:rsidRPr="00032459">
              <w:rPr>
                <w:sz w:val="22"/>
                <w:szCs w:val="22"/>
              </w:rPr>
              <w:t xml:space="preserve">Metered dose inhalers (MDIs) are important devices for delivering inhaled medications, </w:t>
            </w:r>
            <w:proofErr w:type="gramStart"/>
            <w:r w:rsidRPr="00032459">
              <w:rPr>
                <w:sz w:val="22"/>
                <w:szCs w:val="22"/>
              </w:rPr>
              <w:t>however</w:t>
            </w:r>
            <w:proofErr w:type="gramEnd"/>
            <w:r w:rsidRPr="00032459">
              <w:rPr>
                <w:sz w:val="22"/>
                <w:szCs w:val="22"/>
              </w:rPr>
              <w:t xml:space="preserve"> have an outsized carbon footprint due to their propellant gas. Many short-acting beta-agonist inhalers in Australia contain HFA-134a, which has a global warming potential over 1000-fold higher than carbon dioxide. We identified MDI use within lung function laboratories as a potentially significant and modifiable source of MDI consumption and determined the volume and pattern of MDI use within Australian laboratories.</w:t>
            </w:r>
          </w:p>
          <w:p w14:paraId="6C68AC8C" w14:textId="77777777" w:rsidR="006D4713" w:rsidRPr="0050053A" w:rsidRDefault="006D4713" w:rsidP="009C1987">
            <w:pPr>
              <w:pStyle w:val="Pa12"/>
              <w:rPr>
                <w:rStyle w:val="A4"/>
                <w:bCs/>
              </w:rPr>
            </w:pPr>
          </w:p>
          <w:p w14:paraId="6C68AC8D" w14:textId="77777777" w:rsidR="006D4713" w:rsidRPr="0050053A" w:rsidRDefault="006D4713" w:rsidP="009C1987">
            <w:pPr>
              <w:pStyle w:val="Pa12"/>
              <w:rPr>
                <w:rStyle w:val="A4"/>
                <w:b/>
                <w:bCs/>
              </w:rPr>
            </w:pPr>
            <w:r w:rsidRPr="0050053A">
              <w:rPr>
                <w:rStyle w:val="A4"/>
                <w:b/>
                <w:bCs/>
              </w:rPr>
              <w:t xml:space="preserve">Method: </w:t>
            </w:r>
          </w:p>
          <w:p w14:paraId="6C68AC8E" w14:textId="02A943FB" w:rsidR="006D4713" w:rsidRPr="0050053A" w:rsidRDefault="00032459" w:rsidP="006D4713">
            <w:pPr>
              <w:pStyle w:val="Pa12"/>
              <w:rPr>
                <w:sz w:val="22"/>
                <w:szCs w:val="22"/>
              </w:rPr>
            </w:pPr>
            <w:r w:rsidRPr="00032459">
              <w:rPr>
                <w:sz w:val="22"/>
                <w:szCs w:val="22"/>
              </w:rPr>
              <w:t>The forty-five accredited Australian lung function laboratories were invited to participate in an online survey asking about volume of testing, volume of MDI use, and whether MDI canisters were reused between patients. We estimated the carbon dioxide equivalent (CO2e) of the propellant from one salbutamol MDI to be 26kg, based on previously published data.</w:t>
            </w:r>
            <w:r w:rsidRPr="00032459">
              <w:rPr>
                <w:sz w:val="22"/>
                <w:szCs w:val="22"/>
                <w:vertAlign w:val="superscript"/>
              </w:rPr>
              <w:t>1</w:t>
            </w:r>
            <w:r w:rsidR="006D4713">
              <w:rPr>
                <w:sz w:val="22"/>
                <w:szCs w:val="22"/>
              </w:rPr>
              <w:br/>
            </w:r>
          </w:p>
          <w:p w14:paraId="6C68AC91" w14:textId="77777777" w:rsidR="006D4713" w:rsidRPr="0050053A" w:rsidRDefault="006D4713" w:rsidP="009C1987">
            <w:pPr>
              <w:pStyle w:val="Pa12"/>
              <w:rPr>
                <w:rStyle w:val="A4"/>
                <w:b/>
                <w:bCs/>
              </w:rPr>
            </w:pPr>
            <w:r w:rsidRPr="0050053A">
              <w:rPr>
                <w:rStyle w:val="A4"/>
                <w:b/>
                <w:bCs/>
              </w:rPr>
              <w:t xml:space="preserve">Results: </w:t>
            </w:r>
          </w:p>
          <w:p w14:paraId="6C68AC93" w14:textId="47383797" w:rsidR="006D4713" w:rsidRPr="0050053A" w:rsidRDefault="00032459" w:rsidP="009C1987">
            <w:pPr>
              <w:pStyle w:val="Pa12"/>
              <w:rPr>
                <w:sz w:val="22"/>
                <w:szCs w:val="22"/>
              </w:rPr>
            </w:pPr>
            <w:r w:rsidRPr="00032459">
              <w:rPr>
                <w:sz w:val="22"/>
                <w:szCs w:val="22"/>
              </w:rPr>
              <w:t>Thirty-eight laboratories completed the survey. The median annual number of bronchodilator response (BDR) tests was 2077 (interquartile range [IQR] 1109 – 3717). Only two (5.3%) laboratories did not routinely reuse MDI canisters between patients. Thirty-two laboratories reported their volume of MDI use, ranging from 15 to 5100 canisters (median 50, IQR 31.75 – 62.75). Corrected for testing volume, the number of MDI canisters per 100 BDR tests ranged from 0.94 to 98.5. Converted to a carbon footprint, this equated to between 24.4kg and 2561kg CO2e per 100 BDR tests.</w:t>
            </w:r>
          </w:p>
          <w:p w14:paraId="6C68AC94" w14:textId="77777777" w:rsidR="006D4713" w:rsidRPr="0050053A" w:rsidRDefault="006D4713" w:rsidP="009C1987">
            <w:pPr>
              <w:pStyle w:val="Pa12"/>
              <w:rPr>
                <w:rStyle w:val="A4"/>
                <w:bCs/>
              </w:rPr>
            </w:pPr>
          </w:p>
          <w:p w14:paraId="6C68AC95" w14:textId="77777777" w:rsidR="006D4713" w:rsidRPr="0050053A" w:rsidRDefault="006D4713" w:rsidP="009C1987">
            <w:pPr>
              <w:pStyle w:val="Pa12"/>
              <w:rPr>
                <w:rStyle w:val="A4"/>
                <w:b/>
                <w:bCs/>
              </w:rPr>
            </w:pPr>
            <w:r w:rsidRPr="0050053A">
              <w:rPr>
                <w:rStyle w:val="A4"/>
                <w:b/>
                <w:bCs/>
              </w:rPr>
              <w:t xml:space="preserve">Conclusion: </w:t>
            </w:r>
          </w:p>
          <w:p w14:paraId="274C3A92" w14:textId="77777777" w:rsidR="00032459" w:rsidRDefault="00032459" w:rsidP="00032459">
            <w:pPr>
              <w:pStyle w:val="Pa12"/>
              <w:rPr>
                <w:rStyle w:val="A4"/>
              </w:rPr>
            </w:pPr>
            <w:r w:rsidRPr="00032459">
              <w:rPr>
                <w:sz w:val="22"/>
                <w:szCs w:val="22"/>
              </w:rPr>
              <w:t xml:space="preserve">Most lung function testing laboratories in Australia reuse MDI canisters between patients, however a few laboratories used MDIs once only, which led to a greater than 100-fold difference in MDI consumption. For a laboratory performing around 2000 BDR tests annually, the decision to reuse MDIs can lead to carbon savings of over 50,000kg CO2e per year, </w:t>
            </w:r>
            <w:proofErr w:type="gramStart"/>
            <w:r w:rsidRPr="00032459">
              <w:rPr>
                <w:sz w:val="22"/>
                <w:szCs w:val="22"/>
              </w:rPr>
              <w:t>similar to</w:t>
            </w:r>
            <w:proofErr w:type="gramEnd"/>
            <w:r w:rsidRPr="00032459">
              <w:rPr>
                <w:sz w:val="22"/>
                <w:szCs w:val="22"/>
              </w:rPr>
              <w:t xml:space="preserve"> driving around Australia in a </w:t>
            </w:r>
            <w:proofErr w:type="spellStart"/>
            <w:r w:rsidRPr="00032459">
              <w:rPr>
                <w:sz w:val="22"/>
                <w:szCs w:val="22"/>
              </w:rPr>
              <w:t>petrol</w:t>
            </w:r>
            <w:proofErr w:type="spellEnd"/>
            <w:r w:rsidRPr="00032459">
              <w:rPr>
                <w:sz w:val="22"/>
                <w:szCs w:val="22"/>
              </w:rPr>
              <w:t xml:space="preserve"> car more than 16 times.</w:t>
            </w:r>
            <w:r w:rsidR="006D4713">
              <w:rPr>
                <w:sz w:val="22"/>
                <w:szCs w:val="22"/>
              </w:rPr>
              <w:br/>
            </w:r>
          </w:p>
          <w:p w14:paraId="1038B3F1" w14:textId="77777777" w:rsidR="00032459" w:rsidRDefault="00032459" w:rsidP="00032459">
            <w:pPr>
              <w:pStyle w:val="Pa12"/>
              <w:rPr>
                <w:rStyle w:val="A4"/>
                <w:b/>
                <w:bCs/>
              </w:rPr>
            </w:pPr>
            <w:r w:rsidRPr="00032459">
              <w:rPr>
                <w:rStyle w:val="A4"/>
                <w:b/>
                <w:bCs/>
              </w:rPr>
              <w:t>References</w:t>
            </w:r>
            <w:r>
              <w:rPr>
                <w:rStyle w:val="A4"/>
                <w:b/>
                <w:bCs/>
              </w:rPr>
              <w:t>:</w:t>
            </w:r>
          </w:p>
          <w:p w14:paraId="3C93F424" w14:textId="57526D51" w:rsidR="00032459" w:rsidRPr="00032459" w:rsidRDefault="00032459" w:rsidP="00032459">
            <w:pPr>
              <w:pStyle w:val="Pa12"/>
              <w:rPr>
                <w:rStyle w:val="A4"/>
                <w:b/>
                <w:bCs/>
              </w:rPr>
            </w:pPr>
            <w:r w:rsidRPr="00032459">
              <w:rPr>
                <w:rStyle w:val="A4"/>
              </w:rPr>
              <w:t>1. Janson et al, Thorax, 2020; 75(1):82-4.</w:t>
            </w:r>
          </w:p>
          <w:p w14:paraId="1309EEAF" w14:textId="77777777" w:rsidR="00032459" w:rsidRPr="00032459" w:rsidRDefault="00032459" w:rsidP="00032459">
            <w:pPr>
              <w:pStyle w:val="Pa12"/>
              <w:rPr>
                <w:rStyle w:val="A4"/>
              </w:rPr>
            </w:pPr>
          </w:p>
          <w:p w14:paraId="6C68ACA2" w14:textId="6026BAE5" w:rsidR="006D4713" w:rsidRPr="00032459" w:rsidRDefault="00032459" w:rsidP="00032459">
            <w:pPr>
              <w:pStyle w:val="Pa12"/>
              <w:rPr>
                <w:color w:val="000000"/>
                <w:sz w:val="22"/>
                <w:szCs w:val="22"/>
              </w:rPr>
            </w:pPr>
            <w:r w:rsidRPr="00032459">
              <w:rPr>
                <w:rStyle w:val="A4"/>
                <w:b/>
                <w:bCs/>
              </w:rPr>
              <w:t>Key words</w:t>
            </w:r>
            <w:r w:rsidRPr="00032459">
              <w:rPr>
                <w:rStyle w:val="A4"/>
              </w:rPr>
              <w:t>: carbon footprint, metered dose inhaler, bronchodilator response, spirometry</w:t>
            </w:r>
          </w:p>
        </w:tc>
      </w:tr>
    </w:tbl>
    <w:p w14:paraId="0FEB58A2" w14:textId="77777777" w:rsidR="009656B9" w:rsidRDefault="009656B9" w:rsidP="00487EC0">
      <w:pPr>
        <w:ind w:left="720"/>
        <w:rPr>
          <w:rFonts w:ascii="Arial" w:hAnsi="Arial" w:cs="Arial"/>
          <w:highlight w:val="lightGray"/>
        </w:rPr>
      </w:pPr>
    </w:p>
    <w:p w14:paraId="6C68ACA4" w14:textId="77777777" w:rsidR="00EE3EA8" w:rsidRDefault="00EE3EA8"/>
    <w:sectPr w:rsidR="00EE3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032459"/>
    <w:rsid w:val="002B4988"/>
    <w:rsid w:val="00323005"/>
    <w:rsid w:val="00361F7E"/>
    <w:rsid w:val="003F0690"/>
    <w:rsid w:val="00487EC0"/>
    <w:rsid w:val="005B3C80"/>
    <w:rsid w:val="006438E9"/>
    <w:rsid w:val="006D4713"/>
    <w:rsid w:val="00752808"/>
    <w:rsid w:val="009656B9"/>
    <w:rsid w:val="00C52E49"/>
    <w:rsid w:val="00C91C8C"/>
    <w:rsid w:val="00D02B65"/>
    <w:rsid w:val="00EE3E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5F824C-5088-42B0-A666-662E8AB0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0A034-3CE3-4046-9BD9-8F5BBDBD3274}">
  <ds:schemaRefs>
    <ds:schemaRef ds:uri="http://schemas.microsoft.com/sharepoint/v3/contenttype/forms"/>
  </ds:schemaRefs>
</ds:datastoreItem>
</file>

<file path=customXml/itemProps3.xml><?xml version="1.0" encoding="utf-8"?>
<ds:datastoreItem xmlns:ds="http://schemas.openxmlformats.org/officeDocument/2006/customXml" ds:itemID="{DACBD194-A1E0-4107-8F2F-F5DDCC7D135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onsite6</dc:creator>
  <cp:lastModifiedBy>Michael Loftus</cp:lastModifiedBy>
  <cp:revision>4</cp:revision>
  <dcterms:created xsi:type="dcterms:W3CDTF">2020-08-27T00:41:00Z</dcterms:created>
  <dcterms:modified xsi:type="dcterms:W3CDTF">2023-10-18T10:02:00Z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