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38AAEDC" w14:textId="77777777" w:rsidR="00235443" w:rsidRPr="00235443" w:rsidRDefault="00235443" w:rsidP="00235443">
            <w:pPr>
              <w:jc w:val="both"/>
              <w:rPr>
                <w:rFonts w:ascii="Arial" w:hAnsi="Arial" w:cs="Arial"/>
                <w:bCs/>
                <w:i/>
                <w:iCs/>
                <w:sz w:val="22"/>
                <w:szCs w:val="22"/>
              </w:rPr>
            </w:pPr>
            <w:r w:rsidRPr="00235443">
              <w:rPr>
                <w:rFonts w:ascii="Arial" w:hAnsi="Arial" w:cs="Arial"/>
                <w:bCs/>
                <w:i/>
                <w:iCs/>
                <w:sz w:val="22"/>
                <w:szCs w:val="22"/>
              </w:rPr>
              <w:t>Paper</w:t>
            </w:r>
          </w:p>
          <w:p w14:paraId="63CEBD5E" w14:textId="0676B858" w:rsidR="00766FE4" w:rsidRPr="00235443" w:rsidRDefault="00766FE4" w:rsidP="00235443">
            <w:pPr>
              <w:jc w:val="both"/>
              <w:rPr>
                <w:rFonts w:ascii="Arial" w:eastAsia="Calibri" w:hAnsi="Arial" w:cs="Arial"/>
                <w:b/>
                <w:bCs/>
                <w:sz w:val="22"/>
                <w:szCs w:val="22"/>
              </w:rPr>
            </w:pPr>
            <w:r w:rsidRPr="00235443">
              <w:rPr>
                <w:rFonts w:ascii="Arial" w:eastAsia="Calibri" w:hAnsi="Arial" w:cs="Arial"/>
                <w:b/>
                <w:bCs/>
                <w:sz w:val="22"/>
                <w:szCs w:val="22"/>
              </w:rPr>
              <w:t>Enhancing Finance for Inclusive Climate Adaptation</w:t>
            </w:r>
          </w:p>
          <w:p w14:paraId="7A9C5076" w14:textId="7F84F646" w:rsidR="00766FE4" w:rsidRPr="003F2101" w:rsidRDefault="00766FE4" w:rsidP="00766FE4">
            <w:pPr>
              <w:spacing w:before="240" w:after="240"/>
              <w:rPr>
                <w:rFonts w:ascii="Arial" w:eastAsia="Calibri" w:hAnsi="Arial" w:cs="Arial"/>
              </w:rPr>
            </w:pPr>
            <w:r w:rsidRPr="003F2101">
              <w:rPr>
                <w:rFonts w:ascii="Arial" w:eastAsia="Calibri" w:hAnsi="Arial" w:cs="Arial"/>
              </w:rPr>
              <w:t xml:space="preserve">Authors: Ishita Sachdeva, Arjan de Haan, Bhim Adhikari </w:t>
            </w:r>
          </w:p>
          <w:p w14:paraId="3B64C729" w14:textId="4F80809D" w:rsidR="003F2101" w:rsidRPr="001E7587" w:rsidRDefault="003F2101" w:rsidP="00766FE4">
            <w:pPr>
              <w:spacing w:before="240" w:after="240"/>
              <w:rPr>
                <w:rFonts w:ascii="Arial" w:eastAsia="Calibri" w:hAnsi="Arial" w:cs="Arial"/>
                <w:b/>
                <w:bCs/>
              </w:rPr>
            </w:pPr>
            <w:r w:rsidRPr="003F2101">
              <w:rPr>
                <w:rFonts w:ascii="Arial" w:eastAsia="Calibri" w:hAnsi="Arial" w:cs="Arial"/>
              </w:rPr>
              <w:t>The three authors work at IDRC, corresponding author Arjan de Haan, adehaan@idrc.ca</w:t>
            </w:r>
          </w:p>
          <w:p w14:paraId="3F7D1534" w14:textId="77777777" w:rsidR="006A43F1" w:rsidRPr="009C75AE" w:rsidRDefault="006A43F1" w:rsidP="006A43F1">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314E80AE" w14:textId="77777777" w:rsidR="00236D06" w:rsidRDefault="0065012F" w:rsidP="002556F4">
            <w:pPr>
              <w:jc w:val="both"/>
              <w:rPr>
                <w:rFonts w:ascii="Arial" w:hAnsi="Arial" w:cs="Arial"/>
                <w:b/>
                <w:sz w:val="22"/>
                <w:szCs w:val="22"/>
              </w:rPr>
            </w:pPr>
            <w:r w:rsidRPr="0065012F">
              <w:rPr>
                <w:rFonts w:ascii="Arial" w:hAnsi="Arial" w:cs="Arial"/>
                <w:b/>
                <w:sz w:val="22"/>
                <w:szCs w:val="22"/>
              </w:rPr>
              <w:t>Introduction</w:t>
            </w:r>
          </w:p>
          <w:p w14:paraId="67DCFBEA" w14:textId="77777777" w:rsidR="00236D06" w:rsidRDefault="00236D06" w:rsidP="002556F4">
            <w:pPr>
              <w:jc w:val="both"/>
              <w:rPr>
                <w:rFonts w:ascii="Arial" w:hAnsi="Arial" w:cs="Arial"/>
                <w:b/>
                <w:sz w:val="22"/>
                <w:szCs w:val="22"/>
              </w:rPr>
            </w:pPr>
          </w:p>
          <w:p w14:paraId="1A8EE187" w14:textId="12BDC882" w:rsidR="002556F4" w:rsidRPr="001006ED" w:rsidRDefault="002556F4" w:rsidP="002556F4">
            <w:pPr>
              <w:jc w:val="both"/>
              <w:rPr>
                <w:rFonts w:ascii="Arial" w:hAnsi="Arial" w:cs="Arial"/>
                <w:b/>
                <w:sz w:val="22"/>
                <w:szCs w:val="22"/>
              </w:rPr>
            </w:pPr>
            <w:r w:rsidRPr="001006ED">
              <w:rPr>
                <w:rFonts w:ascii="Arial" w:eastAsia="Arial" w:hAnsi="Arial" w:cs="Arial"/>
                <w:sz w:val="22"/>
                <w:szCs w:val="22"/>
              </w:rPr>
              <w:t>Available climate finance is not meeting the need</w:t>
            </w:r>
            <w:r w:rsidR="005702D4">
              <w:rPr>
                <w:rFonts w:ascii="Arial" w:eastAsia="Arial" w:hAnsi="Arial" w:cs="Arial"/>
                <w:sz w:val="22"/>
                <w:szCs w:val="22"/>
              </w:rPr>
              <w:t>s</w:t>
            </w:r>
            <w:r w:rsidRPr="001006ED">
              <w:rPr>
                <w:rFonts w:ascii="Arial" w:eastAsia="Arial" w:hAnsi="Arial" w:cs="Arial"/>
                <w:sz w:val="22"/>
                <w:szCs w:val="22"/>
              </w:rPr>
              <w:t xml:space="preserve"> of critical climate action. Overall resources fall short, disbursements are slow, capacities are lacking, and current global policy changes are likely enhancing already very large gaps. </w:t>
            </w:r>
            <w:r w:rsidR="00D15081" w:rsidRPr="001006ED">
              <w:rPr>
                <w:rFonts w:ascii="Arial" w:eastAsia="Arial" w:hAnsi="Arial" w:cs="Arial"/>
                <w:sz w:val="22"/>
                <w:szCs w:val="22"/>
              </w:rPr>
              <w:t xml:space="preserve">Contributions from </w:t>
            </w:r>
            <w:r w:rsidRPr="001006ED">
              <w:rPr>
                <w:rFonts w:ascii="Arial" w:eastAsia="Arial" w:hAnsi="Arial" w:cs="Arial"/>
                <w:sz w:val="22"/>
                <w:szCs w:val="22"/>
              </w:rPr>
              <w:t>new financial instruments</w:t>
            </w:r>
            <w:r w:rsidR="00D15081" w:rsidRPr="001006ED">
              <w:rPr>
                <w:rFonts w:ascii="Arial" w:eastAsia="Arial" w:hAnsi="Arial" w:cs="Arial"/>
                <w:sz w:val="22"/>
                <w:szCs w:val="22"/>
              </w:rPr>
              <w:t xml:space="preserve">, </w:t>
            </w:r>
            <w:r w:rsidRPr="001006ED">
              <w:rPr>
                <w:rFonts w:ascii="Arial" w:eastAsia="Arial" w:hAnsi="Arial" w:cs="Arial"/>
                <w:sz w:val="22"/>
                <w:szCs w:val="22"/>
              </w:rPr>
              <w:t>private and blended forms of finance fall behind expectations</w:t>
            </w:r>
            <w:r w:rsidR="000127D2" w:rsidRPr="001006ED">
              <w:rPr>
                <w:rFonts w:ascii="Arial" w:eastAsia="Arial" w:hAnsi="Arial" w:cs="Arial"/>
                <w:sz w:val="22"/>
                <w:szCs w:val="22"/>
              </w:rPr>
              <w:t xml:space="preserve">, and </w:t>
            </w:r>
            <w:r w:rsidRPr="001006ED">
              <w:rPr>
                <w:rFonts w:ascii="Arial" w:eastAsia="Arial" w:hAnsi="Arial" w:cs="Arial"/>
                <w:sz w:val="22"/>
                <w:szCs w:val="22"/>
              </w:rPr>
              <w:t xml:space="preserve">the impact of these instruments for promoting local level climate action benefiting vulnerable communities remain unclear. While overall resources are insufficient, gaps tend to be larger for critical adaptation action, for lower-income countries and regions, for local communities and action, and for women. </w:t>
            </w:r>
          </w:p>
          <w:p w14:paraId="45D26427" w14:textId="77777777" w:rsidR="00766FE4" w:rsidRPr="001006ED" w:rsidRDefault="00766FE4" w:rsidP="00706DED">
            <w:pPr>
              <w:jc w:val="both"/>
              <w:rPr>
                <w:rFonts w:ascii="Arial" w:hAnsi="Arial" w:cs="Arial"/>
                <w:b/>
                <w:sz w:val="22"/>
                <w:szCs w:val="22"/>
              </w:rPr>
            </w:pPr>
          </w:p>
          <w:p w14:paraId="5DE13B32" w14:textId="77777777" w:rsidR="0065012F" w:rsidRPr="001006ED" w:rsidRDefault="0065012F" w:rsidP="00706DED">
            <w:pPr>
              <w:jc w:val="both"/>
              <w:rPr>
                <w:rFonts w:ascii="Arial" w:hAnsi="Arial" w:cs="Arial"/>
                <w:b/>
                <w:sz w:val="22"/>
                <w:szCs w:val="22"/>
              </w:rPr>
            </w:pPr>
            <w:r w:rsidRPr="001006ED">
              <w:rPr>
                <w:rFonts w:ascii="Arial" w:hAnsi="Arial" w:cs="Arial"/>
                <w:b/>
                <w:sz w:val="22"/>
                <w:szCs w:val="22"/>
              </w:rPr>
              <w:t>Objectives</w:t>
            </w:r>
          </w:p>
          <w:p w14:paraId="7674FDB4" w14:textId="506C207C" w:rsidR="00861A34" w:rsidRPr="001006ED" w:rsidRDefault="000127D2" w:rsidP="00861A34">
            <w:pPr>
              <w:spacing w:before="240" w:after="240"/>
              <w:jc w:val="both"/>
              <w:rPr>
                <w:rFonts w:ascii="Arial" w:eastAsia="Arial" w:hAnsi="Arial" w:cs="Arial"/>
                <w:sz w:val="22"/>
                <w:szCs w:val="22"/>
              </w:rPr>
            </w:pPr>
            <w:r w:rsidRPr="001006ED">
              <w:rPr>
                <w:rFonts w:ascii="Arial" w:eastAsia="Arial" w:hAnsi="Arial" w:cs="Arial"/>
                <w:sz w:val="22"/>
                <w:szCs w:val="22"/>
              </w:rPr>
              <w:t>T</w:t>
            </w:r>
            <w:r w:rsidR="00861A34" w:rsidRPr="001006ED">
              <w:rPr>
                <w:rFonts w:ascii="Arial" w:eastAsia="Arial" w:hAnsi="Arial" w:cs="Arial"/>
                <w:sz w:val="22"/>
                <w:szCs w:val="22"/>
              </w:rPr>
              <w:t>his paper synthesize</w:t>
            </w:r>
            <w:r w:rsidRPr="001006ED">
              <w:rPr>
                <w:rFonts w:ascii="Arial" w:eastAsia="Arial" w:hAnsi="Arial" w:cs="Arial"/>
                <w:sz w:val="22"/>
                <w:szCs w:val="22"/>
              </w:rPr>
              <w:t>s</w:t>
            </w:r>
            <w:r w:rsidR="00861A34" w:rsidRPr="001006ED">
              <w:rPr>
                <w:rFonts w:ascii="Arial" w:eastAsia="Arial" w:hAnsi="Arial" w:cs="Arial"/>
                <w:sz w:val="22"/>
                <w:szCs w:val="22"/>
              </w:rPr>
              <w:t xml:space="preserve"> existing and emerging evidence on the barriers to accessing funding for local adaptation. It examine</w:t>
            </w:r>
            <w:r w:rsidRPr="001006ED">
              <w:rPr>
                <w:rFonts w:ascii="Arial" w:eastAsia="Arial" w:hAnsi="Arial" w:cs="Arial"/>
                <w:sz w:val="22"/>
                <w:szCs w:val="22"/>
              </w:rPr>
              <w:t>s</w:t>
            </w:r>
            <w:r w:rsidR="00861A34" w:rsidRPr="001006ED">
              <w:rPr>
                <w:rFonts w:ascii="Arial" w:eastAsia="Arial" w:hAnsi="Arial" w:cs="Arial"/>
                <w:sz w:val="22"/>
                <w:szCs w:val="22"/>
              </w:rPr>
              <w:t xml:space="preserve"> the structural, institutional, and procedural challenges that hinder local actors—such as communities, civil society organizations, and small enterprises—from securing climate finance. </w:t>
            </w:r>
            <w:r w:rsidR="006A4E05" w:rsidRPr="001006ED">
              <w:rPr>
                <w:rFonts w:ascii="Arial" w:eastAsia="Arial" w:hAnsi="Arial" w:cs="Arial"/>
                <w:sz w:val="22"/>
                <w:szCs w:val="22"/>
              </w:rPr>
              <w:t xml:space="preserve">We </w:t>
            </w:r>
            <w:r w:rsidR="00861A34" w:rsidRPr="001006ED">
              <w:rPr>
                <w:rFonts w:ascii="Arial" w:eastAsia="Arial" w:hAnsi="Arial" w:cs="Arial"/>
                <w:sz w:val="22"/>
                <w:szCs w:val="22"/>
              </w:rPr>
              <w:t>explore the extent to which existing financial mechanisms and policies are inclusive and effective in addressing local adaptation needs. By identifying key bottlenecks and gaps, it seeks to highlight opportunities for strengthening financial flows to local adaptation efforts and propose actionable recommendations for improving access.</w:t>
            </w:r>
          </w:p>
          <w:p w14:paraId="457D2D05" w14:textId="4552866C" w:rsidR="0065012F" w:rsidRPr="001006ED" w:rsidRDefault="00906B39" w:rsidP="00706DED">
            <w:pPr>
              <w:jc w:val="both"/>
              <w:rPr>
                <w:rFonts w:ascii="Arial" w:hAnsi="Arial" w:cs="Arial"/>
                <w:b/>
                <w:sz w:val="22"/>
                <w:szCs w:val="22"/>
              </w:rPr>
            </w:pPr>
            <w:r w:rsidRPr="001006ED">
              <w:rPr>
                <w:rFonts w:ascii="Arial" w:hAnsi="Arial" w:cs="Arial"/>
                <w:b/>
                <w:sz w:val="22"/>
                <w:szCs w:val="22"/>
              </w:rPr>
              <w:t>Methodology</w:t>
            </w:r>
          </w:p>
          <w:p w14:paraId="2A554C7A" w14:textId="3E639646" w:rsidR="00495ABB" w:rsidRPr="001006ED" w:rsidRDefault="00495ABB" w:rsidP="00495ABB">
            <w:pPr>
              <w:spacing w:before="240" w:after="240"/>
              <w:jc w:val="both"/>
              <w:rPr>
                <w:rFonts w:ascii="Arial" w:eastAsia="Arial" w:hAnsi="Arial" w:cs="Arial"/>
                <w:sz w:val="22"/>
                <w:szCs w:val="22"/>
              </w:rPr>
            </w:pPr>
            <w:r w:rsidRPr="001006ED">
              <w:rPr>
                <w:rFonts w:ascii="Arial" w:eastAsia="Arial" w:hAnsi="Arial" w:cs="Arial"/>
                <w:sz w:val="22"/>
                <w:szCs w:val="22"/>
              </w:rPr>
              <w:t>The paper involve</w:t>
            </w:r>
            <w:r w:rsidR="006A4E05" w:rsidRPr="001006ED">
              <w:rPr>
                <w:rFonts w:ascii="Arial" w:eastAsia="Arial" w:hAnsi="Arial" w:cs="Arial"/>
                <w:sz w:val="22"/>
                <w:szCs w:val="22"/>
              </w:rPr>
              <w:t>s</w:t>
            </w:r>
            <w:r w:rsidRPr="001006ED">
              <w:rPr>
                <w:rFonts w:ascii="Arial" w:eastAsia="Arial" w:hAnsi="Arial" w:cs="Arial"/>
                <w:sz w:val="22"/>
                <w:szCs w:val="22"/>
              </w:rPr>
              <w:t xml:space="preserve"> a review of existing evidence and emerging findings from various </w:t>
            </w:r>
            <w:r w:rsidR="009F59AE" w:rsidRPr="001006ED">
              <w:rPr>
                <w:rFonts w:ascii="Arial" w:eastAsia="Arial" w:hAnsi="Arial" w:cs="Arial"/>
                <w:sz w:val="22"/>
                <w:szCs w:val="22"/>
              </w:rPr>
              <w:t xml:space="preserve">(IDRC) </w:t>
            </w:r>
            <w:r w:rsidRPr="001006ED">
              <w:rPr>
                <w:rFonts w:ascii="Arial" w:eastAsia="Arial" w:hAnsi="Arial" w:cs="Arial"/>
                <w:sz w:val="22"/>
                <w:szCs w:val="22"/>
              </w:rPr>
              <w:t>projects and collaborations. This include</w:t>
            </w:r>
            <w:r w:rsidR="006A4E05" w:rsidRPr="001006ED">
              <w:rPr>
                <w:rFonts w:ascii="Arial" w:eastAsia="Arial" w:hAnsi="Arial" w:cs="Arial"/>
                <w:sz w:val="22"/>
                <w:szCs w:val="22"/>
              </w:rPr>
              <w:t xml:space="preserve">s review of </w:t>
            </w:r>
            <w:r w:rsidRPr="001006ED">
              <w:rPr>
                <w:rFonts w:ascii="Arial" w:eastAsia="Arial" w:hAnsi="Arial" w:cs="Arial"/>
                <w:sz w:val="22"/>
                <w:szCs w:val="22"/>
              </w:rPr>
              <w:t xml:space="preserve">experiences with finance institutions and new financial instruments, </w:t>
            </w:r>
            <w:r w:rsidR="006A4E05" w:rsidRPr="001006ED">
              <w:rPr>
                <w:rFonts w:ascii="Arial" w:eastAsia="Arial" w:hAnsi="Arial" w:cs="Arial"/>
                <w:sz w:val="22"/>
                <w:szCs w:val="22"/>
              </w:rPr>
              <w:t>of</w:t>
            </w:r>
            <w:r w:rsidRPr="001006ED">
              <w:rPr>
                <w:rFonts w:ascii="Arial" w:eastAsia="Arial" w:hAnsi="Arial" w:cs="Arial"/>
                <w:sz w:val="22"/>
                <w:szCs w:val="22"/>
              </w:rPr>
              <w:t xml:space="preserve"> barriers created by policy environments, and </w:t>
            </w:r>
            <w:r w:rsidR="00F5454B" w:rsidRPr="001006ED">
              <w:rPr>
                <w:rFonts w:ascii="Arial" w:eastAsia="Arial" w:hAnsi="Arial" w:cs="Arial"/>
                <w:sz w:val="22"/>
                <w:szCs w:val="22"/>
              </w:rPr>
              <w:t xml:space="preserve">of capacities for </w:t>
            </w:r>
            <w:r w:rsidRPr="001006ED">
              <w:rPr>
                <w:rFonts w:ascii="Arial" w:eastAsia="Arial" w:hAnsi="Arial" w:cs="Arial"/>
                <w:sz w:val="22"/>
                <w:szCs w:val="22"/>
              </w:rPr>
              <w:t>collaboration between climate and development experts and the finance sector.</w:t>
            </w:r>
          </w:p>
          <w:p w14:paraId="62DAA8AE" w14:textId="77777777" w:rsidR="0065012F" w:rsidRPr="001006ED" w:rsidRDefault="0065012F" w:rsidP="00706DED">
            <w:pPr>
              <w:jc w:val="both"/>
              <w:rPr>
                <w:rFonts w:ascii="Arial" w:hAnsi="Arial" w:cs="Arial"/>
                <w:b/>
                <w:sz w:val="22"/>
                <w:szCs w:val="22"/>
              </w:rPr>
            </w:pPr>
            <w:r w:rsidRPr="001006ED">
              <w:rPr>
                <w:rFonts w:ascii="Arial" w:hAnsi="Arial" w:cs="Arial"/>
                <w:b/>
                <w:sz w:val="22"/>
                <w:szCs w:val="22"/>
              </w:rPr>
              <w:t>Findings</w:t>
            </w:r>
          </w:p>
          <w:p w14:paraId="6E628BE2" w14:textId="77777777" w:rsidR="007F7E71" w:rsidRPr="001006ED" w:rsidRDefault="009F6DE7" w:rsidP="00236D06">
            <w:pPr>
              <w:spacing w:before="240" w:after="240"/>
              <w:jc w:val="both"/>
              <w:rPr>
                <w:rFonts w:ascii="Arial" w:eastAsia="Arial" w:hAnsi="Arial" w:cs="Arial"/>
                <w:sz w:val="22"/>
                <w:szCs w:val="22"/>
              </w:rPr>
            </w:pPr>
            <w:r w:rsidRPr="001006ED">
              <w:rPr>
                <w:rFonts w:ascii="Arial" w:eastAsia="Arial" w:hAnsi="Arial" w:cs="Arial"/>
                <w:sz w:val="22"/>
                <w:szCs w:val="22"/>
              </w:rPr>
              <w:t xml:space="preserve">While global climate finance commitments have increased, </w:t>
            </w:r>
            <w:r w:rsidR="00A61767" w:rsidRPr="001006ED">
              <w:rPr>
                <w:rFonts w:ascii="Arial" w:eastAsia="Arial" w:hAnsi="Arial" w:cs="Arial"/>
                <w:sz w:val="22"/>
                <w:szCs w:val="22"/>
              </w:rPr>
              <w:t>g</w:t>
            </w:r>
            <w:r w:rsidRPr="001006ED">
              <w:rPr>
                <w:rFonts w:ascii="Arial" w:eastAsia="Arial" w:hAnsi="Arial" w:cs="Arial"/>
                <w:sz w:val="22"/>
                <w:szCs w:val="22"/>
              </w:rPr>
              <w:t xml:space="preserve">rowing evidence indicates multiple and often compounding barriers, particularly for adaptation activities, that tend to be ‘hyper-local’, and for marginalised groups and regions. </w:t>
            </w:r>
            <w:r w:rsidR="00236D06" w:rsidRPr="001006ED">
              <w:rPr>
                <w:rFonts w:ascii="Arial" w:eastAsia="Arial" w:hAnsi="Arial" w:cs="Arial"/>
                <w:sz w:val="22"/>
                <w:szCs w:val="22"/>
              </w:rPr>
              <w:t>O</w:t>
            </w:r>
            <w:r w:rsidRPr="001006ED">
              <w:rPr>
                <w:rFonts w:ascii="Arial" w:eastAsia="Arial" w:hAnsi="Arial" w:cs="Arial"/>
                <w:sz w:val="22"/>
                <w:szCs w:val="22"/>
              </w:rPr>
              <w:t>ngoing work suggests</w:t>
            </w:r>
            <w:r w:rsidR="00134773" w:rsidRPr="001006ED">
              <w:rPr>
                <w:rFonts w:ascii="Arial" w:eastAsia="Arial" w:hAnsi="Arial" w:cs="Arial"/>
                <w:sz w:val="22"/>
                <w:szCs w:val="22"/>
              </w:rPr>
              <w:t xml:space="preserve"> that addressing this </w:t>
            </w:r>
            <w:r w:rsidRPr="001006ED">
              <w:rPr>
                <w:rFonts w:ascii="Arial" w:eastAsia="Arial" w:hAnsi="Arial" w:cs="Arial"/>
                <w:sz w:val="22"/>
                <w:szCs w:val="22"/>
              </w:rPr>
              <w:t>requires action on multiple fronts</w:t>
            </w:r>
            <w:r w:rsidR="007F7E71" w:rsidRPr="001006ED">
              <w:rPr>
                <w:rFonts w:ascii="Arial" w:eastAsia="Arial" w:hAnsi="Arial" w:cs="Arial"/>
                <w:sz w:val="22"/>
                <w:szCs w:val="22"/>
              </w:rPr>
              <w:t xml:space="preserve">: </w:t>
            </w:r>
          </w:p>
          <w:p w14:paraId="112A02E6" w14:textId="77777777" w:rsidR="007F7E71" w:rsidRPr="001006ED" w:rsidRDefault="007F7E71" w:rsidP="007F7E71">
            <w:pPr>
              <w:pStyle w:val="ListParagraph"/>
              <w:numPr>
                <w:ilvl w:val="0"/>
                <w:numId w:val="4"/>
              </w:numPr>
              <w:spacing w:before="240" w:after="240"/>
              <w:jc w:val="both"/>
              <w:rPr>
                <w:rFonts w:ascii="Arial" w:eastAsia="Arial" w:hAnsi="Arial" w:cs="Arial"/>
                <w:sz w:val="22"/>
                <w:szCs w:val="22"/>
              </w:rPr>
            </w:pPr>
            <w:r w:rsidRPr="001006ED">
              <w:rPr>
                <w:rFonts w:ascii="Arial" w:eastAsia="Arial" w:hAnsi="Arial" w:cs="Arial"/>
                <w:sz w:val="22"/>
                <w:szCs w:val="22"/>
              </w:rPr>
              <w:t>E</w:t>
            </w:r>
            <w:r w:rsidR="009F6DE7" w:rsidRPr="001006ED">
              <w:rPr>
                <w:rFonts w:ascii="Arial" w:eastAsia="Arial" w:hAnsi="Arial" w:cs="Arial"/>
                <w:sz w:val="22"/>
                <w:szCs w:val="22"/>
              </w:rPr>
              <w:t>vidence is critical regarding costs (and benefits) of adaptation action, available and appropriate financial instruments, and procedures</w:t>
            </w:r>
            <w:r w:rsidR="00134773" w:rsidRPr="001006ED">
              <w:rPr>
                <w:rFonts w:ascii="Arial" w:eastAsia="Arial" w:hAnsi="Arial" w:cs="Arial"/>
                <w:sz w:val="22"/>
                <w:szCs w:val="22"/>
              </w:rPr>
              <w:t xml:space="preserve">, </w:t>
            </w:r>
            <w:r w:rsidR="009F6DE7" w:rsidRPr="001006ED">
              <w:rPr>
                <w:rFonts w:ascii="Arial" w:eastAsia="Arial" w:hAnsi="Arial" w:cs="Arial"/>
                <w:sz w:val="22"/>
                <w:szCs w:val="22"/>
              </w:rPr>
              <w:t xml:space="preserve">criteria and preparatory activities by climate finance institutions. </w:t>
            </w:r>
          </w:p>
          <w:p w14:paraId="619CEF19" w14:textId="41C86542" w:rsidR="007F7E71" w:rsidRPr="001006ED" w:rsidRDefault="007F7E71" w:rsidP="007F7E71">
            <w:pPr>
              <w:pStyle w:val="ListParagraph"/>
              <w:numPr>
                <w:ilvl w:val="0"/>
                <w:numId w:val="4"/>
              </w:numPr>
              <w:spacing w:before="240" w:after="240"/>
              <w:jc w:val="both"/>
              <w:rPr>
                <w:rFonts w:ascii="Arial" w:eastAsia="Arial" w:hAnsi="Arial" w:cs="Arial"/>
                <w:sz w:val="22"/>
                <w:szCs w:val="22"/>
              </w:rPr>
            </w:pPr>
            <w:r w:rsidRPr="001006ED">
              <w:rPr>
                <w:rFonts w:ascii="Arial" w:eastAsia="Arial" w:hAnsi="Arial" w:cs="Arial"/>
                <w:sz w:val="22"/>
                <w:szCs w:val="22"/>
              </w:rPr>
              <w:lastRenderedPageBreak/>
              <w:t>T</w:t>
            </w:r>
            <w:r w:rsidR="009F6DE7" w:rsidRPr="001006ED">
              <w:rPr>
                <w:rFonts w:ascii="Arial" w:eastAsia="Arial" w:hAnsi="Arial" w:cs="Arial"/>
                <w:sz w:val="22"/>
                <w:szCs w:val="22"/>
              </w:rPr>
              <w:t xml:space="preserve">here is growing evidence of the need for policy reforms: to enable innovative forms of finance, to develop appropriate criteria and measurement for climate adaptation action and connect local adaptation action to broader policy and finance. </w:t>
            </w:r>
          </w:p>
          <w:p w14:paraId="26DC99F1" w14:textId="5C8D6A0C" w:rsidR="0065012F" w:rsidRPr="001006ED" w:rsidRDefault="007F7E71" w:rsidP="007F7E71">
            <w:pPr>
              <w:pStyle w:val="ListParagraph"/>
              <w:numPr>
                <w:ilvl w:val="0"/>
                <w:numId w:val="4"/>
              </w:numPr>
              <w:spacing w:before="240" w:after="240"/>
              <w:jc w:val="both"/>
              <w:rPr>
                <w:rFonts w:ascii="Arial" w:eastAsia="Arial" w:hAnsi="Arial" w:cs="Arial"/>
                <w:sz w:val="22"/>
                <w:szCs w:val="22"/>
              </w:rPr>
            </w:pPr>
            <w:r w:rsidRPr="001006ED">
              <w:rPr>
                <w:rFonts w:ascii="Arial" w:eastAsia="Arial" w:hAnsi="Arial" w:cs="Arial"/>
                <w:sz w:val="22"/>
                <w:szCs w:val="22"/>
              </w:rPr>
              <w:t>O</w:t>
            </w:r>
            <w:r w:rsidR="009F6DE7" w:rsidRPr="001006ED">
              <w:rPr>
                <w:rFonts w:ascii="Arial" w:eastAsia="Arial" w:hAnsi="Arial" w:cs="Arial"/>
                <w:sz w:val="22"/>
                <w:szCs w:val="22"/>
              </w:rPr>
              <w:t>ur review experience indicates that there are significant capacity gaps, around existing and new finance instruments, and a need for better communication between climate practitioners and the world of and expertise on finance.</w:t>
            </w:r>
          </w:p>
          <w:p w14:paraId="261EC656" w14:textId="2669F05C" w:rsidR="00C8423A" w:rsidRPr="001006ED" w:rsidRDefault="0065012F" w:rsidP="00706DED">
            <w:pPr>
              <w:jc w:val="both"/>
              <w:rPr>
                <w:rFonts w:ascii="Arial" w:hAnsi="Arial" w:cs="Arial"/>
                <w:b/>
                <w:sz w:val="22"/>
                <w:szCs w:val="22"/>
              </w:rPr>
            </w:pPr>
            <w:r w:rsidRPr="001006ED">
              <w:rPr>
                <w:rFonts w:ascii="Arial" w:hAnsi="Arial" w:cs="Arial"/>
                <w:b/>
                <w:sz w:val="22"/>
                <w:szCs w:val="22"/>
              </w:rPr>
              <w:t xml:space="preserve">Significance of the work for policy and practice </w:t>
            </w:r>
          </w:p>
          <w:p w14:paraId="5BFC6F6B" w14:textId="3E3AE421" w:rsidR="00C0129D" w:rsidRPr="001006ED" w:rsidRDefault="00C0129D" w:rsidP="00C0129D">
            <w:pPr>
              <w:spacing w:before="240" w:after="240"/>
              <w:jc w:val="both"/>
              <w:rPr>
                <w:rFonts w:ascii="Arial" w:eastAsia="Arial" w:hAnsi="Arial" w:cs="Arial"/>
                <w:sz w:val="22"/>
                <w:szCs w:val="22"/>
              </w:rPr>
            </w:pPr>
            <w:r w:rsidRPr="001006ED">
              <w:rPr>
                <w:rFonts w:ascii="Arial" w:eastAsia="Arial" w:hAnsi="Arial" w:cs="Arial"/>
                <w:sz w:val="22"/>
                <w:szCs w:val="22"/>
              </w:rPr>
              <w:t>As needs for climate adaptation are growing, so are the needs for climate finance</w:t>
            </w:r>
            <w:r w:rsidR="00016073" w:rsidRPr="001006ED">
              <w:rPr>
                <w:rFonts w:ascii="Arial" w:eastAsia="Arial" w:hAnsi="Arial" w:cs="Arial"/>
                <w:sz w:val="22"/>
                <w:szCs w:val="22"/>
              </w:rPr>
              <w:t xml:space="preserve"> and innovation with an equity lens</w:t>
            </w:r>
            <w:r w:rsidRPr="001006ED">
              <w:rPr>
                <w:rFonts w:ascii="Arial" w:eastAsia="Arial" w:hAnsi="Arial" w:cs="Arial"/>
                <w:sz w:val="22"/>
                <w:szCs w:val="22"/>
              </w:rPr>
              <w:t xml:space="preserve">. Our works tries to contribute to closing adaptation gaps, through enhancing understanding across the community of climate researchers and practitioners, of the availability, promises and limitations of climate finance instruments and the policies environments surrounding this. We will highlight needs and opportunities for innovation and reform, discuss the needs for multi-stakeholder, multi-layered approaches, bridging the worlds of climate action and finance and enhance mutual understanding, and develop specific recommendations to enable access to climate finance for </w:t>
            </w:r>
            <w:r w:rsidR="001006ED" w:rsidRPr="001006ED">
              <w:rPr>
                <w:rFonts w:ascii="Arial" w:eastAsia="Arial" w:hAnsi="Arial" w:cs="Arial"/>
                <w:sz w:val="22"/>
                <w:szCs w:val="22"/>
              </w:rPr>
              <w:t xml:space="preserve">local adaptation. </w:t>
            </w:r>
          </w:p>
          <w:p w14:paraId="2CBAECD6" w14:textId="729DADBB" w:rsidR="009F4EA0" w:rsidRPr="000D7047" w:rsidRDefault="009F4EA0" w:rsidP="008147DF">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D7A"/>
    <w:multiLevelType w:val="hybridMultilevel"/>
    <w:tmpl w:val="10FA911E"/>
    <w:lvl w:ilvl="0" w:tplc="FE9E8336">
      <w:start w:val="50"/>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48165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27D2"/>
    <w:rsid w:val="00016073"/>
    <w:rsid w:val="000454E9"/>
    <w:rsid w:val="001006ED"/>
    <w:rsid w:val="00105E39"/>
    <w:rsid w:val="00122D7A"/>
    <w:rsid w:val="00132AE5"/>
    <w:rsid w:val="00134773"/>
    <w:rsid w:val="00155315"/>
    <w:rsid w:val="00215B54"/>
    <w:rsid w:val="00235443"/>
    <w:rsid w:val="00236D06"/>
    <w:rsid w:val="00247C60"/>
    <w:rsid w:val="002556F4"/>
    <w:rsid w:val="00256963"/>
    <w:rsid w:val="002E3AA3"/>
    <w:rsid w:val="00317356"/>
    <w:rsid w:val="0034503D"/>
    <w:rsid w:val="00354C31"/>
    <w:rsid w:val="00375B20"/>
    <w:rsid w:val="00386D01"/>
    <w:rsid w:val="003B0D67"/>
    <w:rsid w:val="003F2101"/>
    <w:rsid w:val="004049E7"/>
    <w:rsid w:val="00462B90"/>
    <w:rsid w:val="004828A0"/>
    <w:rsid w:val="00495ABB"/>
    <w:rsid w:val="004B69C7"/>
    <w:rsid w:val="004D193B"/>
    <w:rsid w:val="004F4CE8"/>
    <w:rsid w:val="004F5C81"/>
    <w:rsid w:val="0053222C"/>
    <w:rsid w:val="005469BD"/>
    <w:rsid w:val="00550B17"/>
    <w:rsid w:val="005702D4"/>
    <w:rsid w:val="005854B8"/>
    <w:rsid w:val="0065012F"/>
    <w:rsid w:val="0068043B"/>
    <w:rsid w:val="00681CA7"/>
    <w:rsid w:val="006A43F1"/>
    <w:rsid w:val="006A4E05"/>
    <w:rsid w:val="00766FE4"/>
    <w:rsid w:val="007F7E71"/>
    <w:rsid w:val="008147DF"/>
    <w:rsid w:val="00817323"/>
    <w:rsid w:val="008235E8"/>
    <w:rsid w:val="00861A34"/>
    <w:rsid w:val="008773DF"/>
    <w:rsid w:val="008B01BA"/>
    <w:rsid w:val="008B50A0"/>
    <w:rsid w:val="008C0C35"/>
    <w:rsid w:val="008C22AD"/>
    <w:rsid w:val="008C2633"/>
    <w:rsid w:val="008E3D8D"/>
    <w:rsid w:val="008F2F93"/>
    <w:rsid w:val="009010B0"/>
    <w:rsid w:val="00906B39"/>
    <w:rsid w:val="00963443"/>
    <w:rsid w:val="009C374A"/>
    <w:rsid w:val="009F4EA0"/>
    <w:rsid w:val="009F59AE"/>
    <w:rsid w:val="009F6DE7"/>
    <w:rsid w:val="00A25CDA"/>
    <w:rsid w:val="00A61767"/>
    <w:rsid w:val="00B026E8"/>
    <w:rsid w:val="00B51E26"/>
    <w:rsid w:val="00B96548"/>
    <w:rsid w:val="00BA0872"/>
    <w:rsid w:val="00BA26BB"/>
    <w:rsid w:val="00BC6810"/>
    <w:rsid w:val="00BE0B4D"/>
    <w:rsid w:val="00BE58D6"/>
    <w:rsid w:val="00C0129D"/>
    <w:rsid w:val="00C26081"/>
    <w:rsid w:val="00C4126D"/>
    <w:rsid w:val="00C76C99"/>
    <w:rsid w:val="00C8423A"/>
    <w:rsid w:val="00CE53FE"/>
    <w:rsid w:val="00D15081"/>
    <w:rsid w:val="00D716AD"/>
    <w:rsid w:val="00DB7929"/>
    <w:rsid w:val="00DD1BB3"/>
    <w:rsid w:val="00E612FF"/>
    <w:rsid w:val="00EB1B31"/>
    <w:rsid w:val="00EC2862"/>
    <w:rsid w:val="00F5454B"/>
    <w:rsid w:val="00F818D6"/>
    <w:rsid w:val="00F9691B"/>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548</Words>
  <Characters>3130</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30</cp:revision>
  <dcterms:created xsi:type="dcterms:W3CDTF">2025-03-01T08:51:00Z</dcterms:created>
  <dcterms:modified xsi:type="dcterms:W3CDTF">2025-08-18T23:54:00Z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