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5C0E35" w14:paraId="3CA33060" w14:textId="77777777" w:rsidTr="009F4EA0">
        <w:tc>
          <w:tcPr>
            <w:tcW w:w="8640" w:type="dxa"/>
            <w:shd w:val="clear" w:color="auto" w:fill="F2F2F2" w:themeFill="background1" w:themeFillShade="F2"/>
          </w:tcPr>
          <w:p w14:paraId="6D490B82" w14:textId="1C55294F" w:rsidR="00A4576B" w:rsidRPr="005C0E35" w:rsidRDefault="005C0E35" w:rsidP="00706DED">
            <w:pPr>
              <w:jc w:val="both"/>
              <w:rPr>
                <w:rFonts w:ascii="Arial" w:hAnsi="Arial" w:cs="Arial"/>
                <w:bCs/>
                <w:i/>
                <w:iCs/>
                <w:sz w:val="22"/>
                <w:szCs w:val="22"/>
              </w:rPr>
            </w:pPr>
            <w:r w:rsidRPr="005C0E35">
              <w:rPr>
                <w:rFonts w:ascii="Arial" w:hAnsi="Arial" w:cs="Arial"/>
                <w:bCs/>
                <w:i/>
                <w:iCs/>
                <w:sz w:val="22"/>
                <w:szCs w:val="22"/>
              </w:rPr>
              <w:t>Paper</w:t>
            </w:r>
          </w:p>
          <w:p w14:paraId="2003E176" w14:textId="0D848878" w:rsidR="00C8423A" w:rsidRPr="005C0E35" w:rsidRDefault="00612292" w:rsidP="00706DED">
            <w:pPr>
              <w:jc w:val="both"/>
              <w:rPr>
                <w:rFonts w:ascii="Arial" w:hAnsi="Arial" w:cs="Arial"/>
                <w:b/>
                <w:sz w:val="22"/>
                <w:szCs w:val="22"/>
              </w:rPr>
            </w:pPr>
            <w:r w:rsidRPr="005C0E35">
              <w:rPr>
                <w:rFonts w:ascii="Arial" w:hAnsi="Arial" w:cs="Arial"/>
                <w:b/>
                <w:sz w:val="22"/>
                <w:szCs w:val="22"/>
              </w:rPr>
              <w:t>The politics of flood management: Westport’s struggle for a secure future</w:t>
            </w:r>
          </w:p>
          <w:p w14:paraId="3F7D1534" w14:textId="77777777" w:rsidR="00C8423A" w:rsidRPr="005C0E35"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53AC706" w14:textId="77777777" w:rsidR="00A4576B" w:rsidRDefault="00A4576B" w:rsidP="00706DED">
            <w:pPr>
              <w:jc w:val="both"/>
              <w:rPr>
                <w:rFonts w:ascii="Arial" w:hAnsi="Arial" w:cs="Arial"/>
                <w:b/>
                <w:sz w:val="22"/>
                <w:szCs w:val="22"/>
              </w:rPr>
            </w:pPr>
          </w:p>
          <w:p w14:paraId="0CC27BFA" w14:textId="77777777" w:rsidR="00A4576B" w:rsidRDefault="00A4576B" w:rsidP="00A4576B">
            <w:pPr>
              <w:jc w:val="both"/>
              <w:rPr>
                <w:rFonts w:ascii="Arial" w:hAnsi="Arial" w:cs="Arial"/>
                <w:bCs/>
                <w:sz w:val="22"/>
                <w:szCs w:val="22"/>
              </w:rPr>
            </w:pPr>
            <w:r w:rsidRPr="00A4576B">
              <w:rPr>
                <w:rFonts w:ascii="Arial" w:hAnsi="Arial" w:cs="Arial"/>
                <w:bCs/>
                <w:sz w:val="22"/>
                <w:szCs w:val="22"/>
              </w:rPr>
              <w:t xml:space="preserve">Westport, a small town on the West Coast of Aotearoa New Zealand, has a long history of severe flooding. Following two major flood events in 2021 and 2022, a bold flood management plan was proposed: an 18 km-long </w:t>
            </w:r>
            <w:proofErr w:type="spellStart"/>
            <w:r w:rsidRPr="00A4576B">
              <w:rPr>
                <w:rFonts w:ascii="Arial" w:hAnsi="Arial" w:cs="Arial"/>
                <w:bCs/>
                <w:sz w:val="22"/>
                <w:szCs w:val="22"/>
              </w:rPr>
              <w:t>stopbank</w:t>
            </w:r>
            <w:proofErr w:type="spellEnd"/>
            <w:r w:rsidRPr="00A4576B">
              <w:rPr>
                <w:rFonts w:ascii="Arial" w:hAnsi="Arial" w:cs="Arial"/>
                <w:bCs/>
                <w:sz w:val="22"/>
                <w:szCs w:val="22"/>
              </w:rPr>
              <w:t xml:space="preserve"> encircling the entire town. This local example reflects a broader challenge in climate adaptation – determining which risks warrant large-scale interventions and who gets to shape those decisions.</w:t>
            </w:r>
          </w:p>
          <w:p w14:paraId="75A7E376" w14:textId="30CB9290" w:rsidR="00A4576B" w:rsidRPr="00A4576B" w:rsidRDefault="00A4576B" w:rsidP="00A4576B">
            <w:pPr>
              <w:jc w:val="both"/>
              <w:rPr>
                <w:rFonts w:ascii="Arial" w:hAnsi="Arial" w:cs="Arial"/>
                <w:bCs/>
                <w:sz w:val="22"/>
                <w:szCs w:val="22"/>
              </w:rPr>
            </w:pPr>
            <w:r w:rsidRPr="00A4576B">
              <w:rPr>
                <w:rFonts w:ascii="Arial" w:hAnsi="Arial" w:cs="Arial"/>
                <w:bCs/>
                <w:sz w:val="22"/>
                <w:szCs w:val="22"/>
              </w:rPr>
              <w:t xml:space="preserve"> </w:t>
            </w:r>
          </w:p>
          <w:p w14:paraId="219DBC00" w14:textId="44CE136A" w:rsidR="00A4576B" w:rsidRPr="00A4576B" w:rsidRDefault="00A4576B" w:rsidP="00A4576B">
            <w:pPr>
              <w:jc w:val="both"/>
              <w:rPr>
                <w:rFonts w:ascii="Arial" w:hAnsi="Arial" w:cs="Arial"/>
                <w:bCs/>
                <w:sz w:val="22"/>
                <w:szCs w:val="22"/>
              </w:rPr>
            </w:pPr>
            <w:r w:rsidRPr="00A4576B">
              <w:rPr>
                <w:rFonts w:ascii="Arial" w:hAnsi="Arial" w:cs="Arial"/>
                <w:bCs/>
                <w:sz w:val="22"/>
                <w:szCs w:val="22"/>
              </w:rPr>
              <w:t xml:space="preserve">How flood risk is understood is inextricably linked to decisions about how to respond (Feindt &amp; </w:t>
            </w:r>
            <w:proofErr w:type="spellStart"/>
            <w:r w:rsidRPr="00A4576B">
              <w:rPr>
                <w:rFonts w:ascii="Arial" w:hAnsi="Arial" w:cs="Arial"/>
                <w:bCs/>
                <w:sz w:val="22"/>
                <w:szCs w:val="22"/>
              </w:rPr>
              <w:t>Oels</w:t>
            </w:r>
            <w:proofErr w:type="spellEnd"/>
            <w:r w:rsidRPr="00A4576B">
              <w:rPr>
                <w:rFonts w:ascii="Arial" w:hAnsi="Arial" w:cs="Arial"/>
                <w:bCs/>
                <w:sz w:val="22"/>
                <w:szCs w:val="22"/>
              </w:rPr>
              <w:t>, 2005). However, decisions concerning adaptation are deeply political and actively contested (</w:t>
            </w:r>
            <w:proofErr w:type="spellStart"/>
            <w:r w:rsidRPr="00A4576B">
              <w:rPr>
                <w:rFonts w:ascii="Arial" w:hAnsi="Arial" w:cs="Arial"/>
                <w:bCs/>
                <w:sz w:val="22"/>
                <w:szCs w:val="22"/>
              </w:rPr>
              <w:t>Dolšak</w:t>
            </w:r>
            <w:proofErr w:type="spellEnd"/>
            <w:r w:rsidRPr="00A4576B">
              <w:rPr>
                <w:rFonts w:ascii="Arial" w:hAnsi="Arial" w:cs="Arial"/>
                <w:bCs/>
                <w:sz w:val="22"/>
                <w:szCs w:val="22"/>
              </w:rPr>
              <w:t xml:space="preserve"> &amp; Prakash, 2018</w:t>
            </w:r>
            <w:proofErr w:type="gramStart"/>
            <w:r w:rsidRPr="00A4576B">
              <w:rPr>
                <w:rFonts w:ascii="Arial" w:hAnsi="Arial" w:cs="Arial"/>
                <w:bCs/>
                <w:sz w:val="22"/>
                <w:szCs w:val="22"/>
              </w:rPr>
              <w:t>), and</w:t>
            </w:r>
            <w:proofErr w:type="gramEnd"/>
            <w:r w:rsidRPr="00A4576B">
              <w:rPr>
                <w:rFonts w:ascii="Arial" w:hAnsi="Arial" w:cs="Arial"/>
                <w:bCs/>
                <w:sz w:val="22"/>
                <w:szCs w:val="22"/>
              </w:rPr>
              <w:t xml:space="preserve"> are intrinsically bound to how different people understand problems and possible solutions (Remling, 2018). What is deemed appropriate adaptation by one group might be seen as maladaptive by another. Simply put, adaptation decisions are never neutral; they are political “all the way through” (Eriksen et al., 2015, p. 523).</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D59C6EB" w14:textId="77777777" w:rsidR="00A4576B" w:rsidRPr="00A4576B" w:rsidRDefault="00A4576B" w:rsidP="00706DED">
            <w:pPr>
              <w:jc w:val="both"/>
              <w:rPr>
                <w:rFonts w:ascii="Arial" w:hAnsi="Arial" w:cs="Arial"/>
                <w:bCs/>
                <w:sz w:val="22"/>
                <w:szCs w:val="22"/>
              </w:rPr>
            </w:pPr>
          </w:p>
          <w:p w14:paraId="71D5BBEE" w14:textId="4A67C26B" w:rsidR="00A4576B" w:rsidRPr="00A4576B" w:rsidRDefault="00A4576B" w:rsidP="00706DED">
            <w:pPr>
              <w:jc w:val="both"/>
              <w:rPr>
                <w:rFonts w:ascii="Arial" w:hAnsi="Arial" w:cs="Arial"/>
                <w:bCs/>
                <w:sz w:val="22"/>
                <w:szCs w:val="22"/>
              </w:rPr>
            </w:pPr>
            <w:r w:rsidRPr="00A4576B">
              <w:rPr>
                <w:rFonts w:ascii="Arial" w:hAnsi="Arial" w:cs="Arial"/>
                <w:bCs/>
                <w:sz w:val="22"/>
                <w:szCs w:val="22"/>
              </w:rPr>
              <w:t xml:space="preserve">This research examines the decision-making process behind Westport’s </w:t>
            </w:r>
            <w:proofErr w:type="gramStart"/>
            <w:r w:rsidRPr="00A4576B">
              <w:rPr>
                <w:rFonts w:ascii="Arial" w:hAnsi="Arial" w:cs="Arial"/>
                <w:bCs/>
                <w:sz w:val="22"/>
                <w:szCs w:val="22"/>
              </w:rPr>
              <w:t>floodwalls, and</w:t>
            </w:r>
            <w:proofErr w:type="gramEnd"/>
            <w:r w:rsidRPr="00A4576B">
              <w:rPr>
                <w:rFonts w:ascii="Arial" w:hAnsi="Arial" w:cs="Arial"/>
                <w:bCs/>
                <w:sz w:val="22"/>
                <w:szCs w:val="22"/>
              </w:rPr>
              <w:t xml:space="preserve"> seeks to understand the political mechanisms that shape adaptation choices. It explores how governance structures frame flood protection as a technical or managerial issue, foreclosing discussion on fundamental questions – What level of risk is the community willing to accept? What is the core problem being addressed? What are the justice implications of proposed solutions? Central to this inquiry is whether existing democratic structures enable meaningful contestation of ideological differences or if certain perspectives are marginalised, shaping adaptation outcomes in ways that obscure power dynamics and alternative approaches.</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507C525" w14:textId="77777777" w:rsidR="00A4576B" w:rsidRDefault="00A4576B" w:rsidP="00706DED">
            <w:pPr>
              <w:jc w:val="both"/>
              <w:rPr>
                <w:rFonts w:ascii="Arial" w:hAnsi="Arial" w:cs="Arial"/>
                <w:b/>
                <w:sz w:val="22"/>
                <w:szCs w:val="22"/>
              </w:rPr>
            </w:pPr>
          </w:p>
          <w:p w14:paraId="726986B4" w14:textId="1EE7CCAE" w:rsidR="00A4576B" w:rsidRPr="00A4576B" w:rsidRDefault="00A4576B" w:rsidP="00706DED">
            <w:pPr>
              <w:jc w:val="both"/>
              <w:rPr>
                <w:rFonts w:ascii="Arial" w:hAnsi="Arial" w:cs="Arial"/>
                <w:bCs/>
                <w:sz w:val="22"/>
                <w:szCs w:val="22"/>
              </w:rPr>
            </w:pPr>
            <w:r w:rsidRPr="00A4576B">
              <w:rPr>
                <w:rFonts w:ascii="Arial" w:hAnsi="Arial" w:cs="Arial"/>
                <w:bCs/>
                <w:sz w:val="22"/>
                <w:szCs w:val="22"/>
              </w:rPr>
              <w:t>This study adopts a post</w:t>
            </w:r>
            <w:r w:rsidR="00E50118">
              <w:rPr>
                <w:rFonts w:ascii="Arial" w:hAnsi="Arial" w:cs="Arial"/>
                <w:bCs/>
                <w:sz w:val="22"/>
                <w:szCs w:val="22"/>
              </w:rPr>
              <w:t>-</w:t>
            </w:r>
            <w:r w:rsidRPr="00A4576B">
              <w:rPr>
                <w:rFonts w:ascii="Arial" w:hAnsi="Arial" w:cs="Arial"/>
                <w:bCs/>
                <w:sz w:val="22"/>
                <w:szCs w:val="22"/>
              </w:rPr>
              <w:t>structural discourse theory approach, analysing 20 semi-structured interviews with residents, scientists, and local-government officials. Using post-political theory as an analytical lens, this research investigates how governance structures privilege certain forms of knowledge while obscuring underlying power dynamics. By identifying the specific post-political mechanisms at play, this research provides empirical insight into how these processes function in practice, shaping adaptation decisions and limiting democratic debate.</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6ECE98C5" w14:textId="77777777" w:rsidR="00A4576B" w:rsidRDefault="00A4576B" w:rsidP="00706DED">
            <w:pPr>
              <w:jc w:val="both"/>
              <w:rPr>
                <w:rFonts w:ascii="Arial" w:hAnsi="Arial" w:cs="Arial"/>
                <w:b/>
                <w:sz w:val="22"/>
                <w:szCs w:val="22"/>
              </w:rPr>
            </w:pPr>
          </w:p>
          <w:p w14:paraId="370A48D9" w14:textId="3F62586A" w:rsidR="00A4576B" w:rsidRPr="00A4576B" w:rsidRDefault="00A4576B" w:rsidP="00706DED">
            <w:pPr>
              <w:jc w:val="both"/>
              <w:rPr>
                <w:rFonts w:ascii="Arial" w:hAnsi="Arial" w:cs="Arial"/>
                <w:bCs/>
                <w:sz w:val="22"/>
                <w:szCs w:val="22"/>
              </w:rPr>
            </w:pPr>
            <w:r w:rsidRPr="00A4576B">
              <w:rPr>
                <w:rFonts w:ascii="Arial" w:hAnsi="Arial" w:cs="Arial"/>
                <w:bCs/>
                <w:sz w:val="22"/>
                <w:szCs w:val="22"/>
              </w:rPr>
              <w:t xml:space="preserve">This research highlights diverse perspectives on flood risk, ranging from acceptance of flooding as an inevitable part of life to strong advocacy for large-scale structural protection regardless of cost. However, possible responses to flooding were never openly debated, and the proposed floodwall remained largely unchallenged during formal consultation. The financial burden of the floodwall and its impact on rates </w:t>
            </w:r>
            <w:r w:rsidRPr="00A4576B">
              <w:rPr>
                <w:rFonts w:ascii="Arial" w:hAnsi="Arial" w:cs="Arial"/>
                <w:bCs/>
                <w:sz w:val="22"/>
                <w:szCs w:val="22"/>
              </w:rPr>
              <w:lastRenderedPageBreak/>
              <w:t xml:space="preserve">remained unknown, undermining the government’s </w:t>
            </w:r>
            <w:r w:rsidR="00E50118">
              <w:rPr>
                <w:rFonts w:ascii="Arial" w:hAnsi="Arial" w:cs="Arial"/>
                <w:bCs/>
                <w:sz w:val="22"/>
                <w:szCs w:val="22"/>
              </w:rPr>
              <w:t>philosophy</w:t>
            </w:r>
            <w:r w:rsidRPr="00A4576B">
              <w:rPr>
                <w:rFonts w:ascii="Arial" w:hAnsi="Arial" w:cs="Arial"/>
                <w:bCs/>
                <w:sz w:val="22"/>
                <w:szCs w:val="22"/>
              </w:rPr>
              <w:t>, which relies on price signals to guide rational decision-making. Democratic debate on alternative solutions and the broader implications of the floodwall was constrained, suppressing ideological differences and leading many in the community to question the legitimacy of the decision-making process.</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Pr="00A4576B" w:rsidRDefault="00BE58D6" w:rsidP="00706DED">
            <w:pPr>
              <w:jc w:val="both"/>
              <w:rPr>
                <w:rFonts w:ascii="Arial" w:hAnsi="Arial" w:cs="Arial"/>
                <w:bCs/>
                <w:sz w:val="22"/>
                <w:szCs w:val="22"/>
              </w:rPr>
            </w:pPr>
          </w:p>
          <w:p w14:paraId="169BD7C2" w14:textId="6AB2322A" w:rsidR="00A4576B" w:rsidRDefault="00A4576B" w:rsidP="00706DED">
            <w:pPr>
              <w:jc w:val="both"/>
              <w:rPr>
                <w:rFonts w:ascii="Arial" w:hAnsi="Arial" w:cs="Arial"/>
                <w:bCs/>
                <w:sz w:val="22"/>
                <w:szCs w:val="22"/>
                <w:lang w:val="en-CA"/>
              </w:rPr>
            </w:pPr>
            <w:r w:rsidRPr="00A4576B">
              <w:rPr>
                <w:rFonts w:ascii="Arial" w:hAnsi="Arial" w:cs="Arial"/>
                <w:bCs/>
                <w:sz w:val="22"/>
                <w:szCs w:val="22"/>
                <w:lang w:val="en-CA"/>
              </w:rPr>
              <w:t>By identifying the post-political processes that shape flood adaptation decisions, this research highlights the need to re-politicise decision-making. Creating space for open contestation of differing viewpoints would support more inclusive, democratic, and just responses to flood risk, ensuring that adaptation strategies are shaped through genuine public debate rather than predetermined technical solutions. By providing empirical evidence of post-political governance, this study deepens our understanding of how certain perspectives are privileged while others are marginalised, reinforcing the importance of democratic engagement in climate adaptation planning.</w:t>
            </w:r>
          </w:p>
          <w:p w14:paraId="23AED241" w14:textId="77777777" w:rsidR="00A4576B" w:rsidRDefault="00A4576B" w:rsidP="00706DED">
            <w:pPr>
              <w:jc w:val="both"/>
              <w:rPr>
                <w:rFonts w:ascii="Arial" w:hAnsi="Arial" w:cs="Arial"/>
                <w:bCs/>
                <w:sz w:val="22"/>
                <w:szCs w:val="22"/>
                <w:lang w:val="en-CA"/>
              </w:rPr>
            </w:pPr>
          </w:p>
          <w:p w14:paraId="0AEB2BCA" w14:textId="438C5874" w:rsidR="00A4576B" w:rsidRPr="00A4576B" w:rsidRDefault="00A4576B" w:rsidP="00706DED">
            <w:pPr>
              <w:jc w:val="both"/>
              <w:rPr>
                <w:rFonts w:ascii="Arial" w:hAnsi="Arial" w:cs="Arial"/>
                <w:bCs/>
                <w:sz w:val="22"/>
                <w:szCs w:val="22"/>
              </w:rPr>
            </w:pPr>
            <w:r>
              <w:rPr>
                <w:rFonts w:ascii="Arial" w:hAnsi="Arial" w:cs="Arial"/>
                <w:b/>
                <w:sz w:val="22"/>
                <w:szCs w:val="22"/>
              </w:rPr>
              <w:t>References</w:t>
            </w:r>
          </w:p>
          <w:p w14:paraId="4D7B65A8" w14:textId="77777777" w:rsidR="00BE58D6" w:rsidRPr="00A4576B" w:rsidRDefault="00BE58D6" w:rsidP="00706DED">
            <w:pPr>
              <w:jc w:val="both"/>
              <w:rPr>
                <w:rFonts w:ascii="Arial" w:hAnsi="Arial" w:cs="Arial"/>
                <w:bCs/>
                <w:sz w:val="22"/>
                <w:szCs w:val="22"/>
              </w:rPr>
            </w:pPr>
          </w:p>
          <w:p w14:paraId="0A3EF0D0" w14:textId="77777777" w:rsidR="00A4576B" w:rsidRPr="00A4576B" w:rsidRDefault="00A4576B" w:rsidP="00A4576B">
            <w:pPr>
              <w:ind w:left="351" w:hanging="351"/>
              <w:rPr>
                <w:rFonts w:ascii="Arial" w:hAnsi="Arial" w:cs="Arial"/>
                <w:bCs/>
                <w:sz w:val="22"/>
                <w:szCs w:val="22"/>
                <w:lang w:val="en-US"/>
              </w:rPr>
            </w:pPr>
            <w:proofErr w:type="spellStart"/>
            <w:r w:rsidRPr="00A4576B">
              <w:rPr>
                <w:rFonts w:ascii="Arial" w:hAnsi="Arial" w:cs="Arial"/>
                <w:bCs/>
                <w:sz w:val="22"/>
                <w:szCs w:val="22"/>
                <w:lang w:val="en-US"/>
              </w:rPr>
              <w:t>Dolšak</w:t>
            </w:r>
            <w:proofErr w:type="spellEnd"/>
            <w:r w:rsidRPr="00A4576B">
              <w:rPr>
                <w:rFonts w:ascii="Arial" w:hAnsi="Arial" w:cs="Arial"/>
                <w:bCs/>
                <w:sz w:val="22"/>
                <w:szCs w:val="22"/>
                <w:lang w:val="en-US"/>
              </w:rPr>
              <w:t xml:space="preserve">, N., &amp; Prakash, A. (2018). The Politics of Climate Change Adaptation. </w:t>
            </w:r>
            <w:r w:rsidRPr="00A4576B">
              <w:rPr>
                <w:rFonts w:ascii="Arial" w:hAnsi="Arial" w:cs="Arial"/>
                <w:bCs/>
                <w:i/>
                <w:iCs/>
                <w:sz w:val="22"/>
                <w:szCs w:val="22"/>
                <w:lang w:val="en-US"/>
              </w:rPr>
              <w:t>Annual Review of Environment and Resources</w:t>
            </w:r>
            <w:r w:rsidRPr="00A4576B">
              <w:rPr>
                <w:rFonts w:ascii="Arial" w:hAnsi="Arial" w:cs="Arial"/>
                <w:bCs/>
                <w:sz w:val="22"/>
                <w:szCs w:val="22"/>
                <w:lang w:val="en-US"/>
              </w:rPr>
              <w:t xml:space="preserve">, </w:t>
            </w:r>
            <w:r w:rsidRPr="00A4576B">
              <w:rPr>
                <w:rFonts w:ascii="Arial" w:hAnsi="Arial" w:cs="Arial"/>
                <w:bCs/>
                <w:i/>
                <w:iCs/>
                <w:sz w:val="22"/>
                <w:szCs w:val="22"/>
                <w:lang w:val="en-US"/>
              </w:rPr>
              <w:t>43</w:t>
            </w:r>
            <w:r w:rsidRPr="00A4576B">
              <w:rPr>
                <w:rFonts w:ascii="Arial" w:hAnsi="Arial" w:cs="Arial"/>
                <w:bCs/>
                <w:sz w:val="22"/>
                <w:szCs w:val="22"/>
                <w:lang w:val="en-US"/>
              </w:rPr>
              <w:t>(1), 317–341. </w:t>
            </w:r>
          </w:p>
          <w:p w14:paraId="2BA91196" w14:textId="77777777" w:rsidR="00A4576B" w:rsidRPr="00A4576B" w:rsidRDefault="00A4576B" w:rsidP="00A4576B">
            <w:pPr>
              <w:ind w:left="351" w:hanging="351"/>
              <w:rPr>
                <w:rFonts w:ascii="Arial" w:hAnsi="Arial" w:cs="Arial"/>
                <w:bCs/>
                <w:sz w:val="22"/>
                <w:szCs w:val="22"/>
                <w:lang w:val="en-US"/>
              </w:rPr>
            </w:pPr>
            <w:r w:rsidRPr="00A4576B">
              <w:rPr>
                <w:rFonts w:ascii="Arial" w:hAnsi="Arial" w:cs="Arial"/>
                <w:bCs/>
                <w:sz w:val="22"/>
                <w:szCs w:val="22"/>
                <w:lang w:val="en-US"/>
              </w:rPr>
              <w:t xml:space="preserve">Eriksen, S., Nightingale, A. J., &amp; Eakin, H. (2015). Reframing adaptation: The political nature of climate change adaptation. </w:t>
            </w:r>
            <w:r w:rsidRPr="00A4576B">
              <w:rPr>
                <w:rFonts w:ascii="Arial" w:hAnsi="Arial" w:cs="Arial"/>
                <w:bCs/>
                <w:i/>
                <w:iCs/>
                <w:sz w:val="22"/>
                <w:szCs w:val="22"/>
                <w:lang w:val="en-US"/>
              </w:rPr>
              <w:t>Global Environmental Change</w:t>
            </w:r>
            <w:r w:rsidRPr="00A4576B">
              <w:rPr>
                <w:rFonts w:ascii="Arial" w:hAnsi="Arial" w:cs="Arial"/>
                <w:bCs/>
                <w:sz w:val="22"/>
                <w:szCs w:val="22"/>
                <w:lang w:val="en-US"/>
              </w:rPr>
              <w:t xml:space="preserve">, </w:t>
            </w:r>
            <w:r w:rsidRPr="00A4576B">
              <w:rPr>
                <w:rFonts w:ascii="Arial" w:hAnsi="Arial" w:cs="Arial"/>
                <w:bCs/>
                <w:i/>
                <w:iCs/>
                <w:sz w:val="22"/>
                <w:szCs w:val="22"/>
                <w:lang w:val="en-US"/>
              </w:rPr>
              <w:t>35</w:t>
            </w:r>
            <w:r w:rsidRPr="00A4576B">
              <w:rPr>
                <w:rFonts w:ascii="Arial" w:hAnsi="Arial" w:cs="Arial"/>
                <w:bCs/>
                <w:sz w:val="22"/>
                <w:szCs w:val="22"/>
                <w:lang w:val="en-US"/>
              </w:rPr>
              <w:t>, 523–533. </w:t>
            </w:r>
          </w:p>
          <w:p w14:paraId="10147FE9" w14:textId="77777777" w:rsidR="00A4576B" w:rsidRPr="00A4576B" w:rsidRDefault="00A4576B" w:rsidP="00A4576B">
            <w:pPr>
              <w:ind w:left="351" w:hanging="351"/>
              <w:rPr>
                <w:rFonts w:ascii="Arial" w:hAnsi="Arial" w:cs="Arial"/>
                <w:bCs/>
                <w:sz w:val="22"/>
                <w:szCs w:val="22"/>
                <w:lang w:val="en-US"/>
              </w:rPr>
            </w:pPr>
            <w:r w:rsidRPr="00A4576B">
              <w:rPr>
                <w:rFonts w:ascii="Arial" w:hAnsi="Arial" w:cs="Arial"/>
                <w:bCs/>
                <w:sz w:val="22"/>
                <w:szCs w:val="22"/>
                <w:lang w:val="en-US"/>
              </w:rPr>
              <w:t xml:space="preserve">Feindt, P. H., &amp; </w:t>
            </w:r>
            <w:proofErr w:type="spellStart"/>
            <w:r w:rsidRPr="00A4576B">
              <w:rPr>
                <w:rFonts w:ascii="Arial" w:hAnsi="Arial" w:cs="Arial"/>
                <w:bCs/>
                <w:sz w:val="22"/>
                <w:szCs w:val="22"/>
                <w:lang w:val="en-US"/>
              </w:rPr>
              <w:t>Oels</w:t>
            </w:r>
            <w:proofErr w:type="spellEnd"/>
            <w:r w:rsidRPr="00A4576B">
              <w:rPr>
                <w:rFonts w:ascii="Arial" w:hAnsi="Arial" w:cs="Arial"/>
                <w:bCs/>
                <w:sz w:val="22"/>
                <w:szCs w:val="22"/>
                <w:lang w:val="en-US"/>
              </w:rPr>
              <w:t xml:space="preserve">, A. (2005). Does discourse matter? Discourse analysis in environmental policy making. </w:t>
            </w:r>
            <w:r w:rsidRPr="00A4576B">
              <w:rPr>
                <w:rFonts w:ascii="Arial" w:hAnsi="Arial" w:cs="Arial"/>
                <w:bCs/>
                <w:i/>
                <w:iCs/>
                <w:sz w:val="22"/>
                <w:szCs w:val="22"/>
                <w:lang w:val="en-US"/>
              </w:rPr>
              <w:t>Journal of Environmental Policy &amp; Planning</w:t>
            </w:r>
            <w:r w:rsidRPr="00A4576B">
              <w:rPr>
                <w:rFonts w:ascii="Arial" w:hAnsi="Arial" w:cs="Arial"/>
                <w:bCs/>
                <w:sz w:val="22"/>
                <w:szCs w:val="22"/>
                <w:lang w:val="en-US"/>
              </w:rPr>
              <w:t xml:space="preserve">, </w:t>
            </w:r>
            <w:r w:rsidRPr="00A4576B">
              <w:rPr>
                <w:rFonts w:ascii="Arial" w:hAnsi="Arial" w:cs="Arial"/>
                <w:bCs/>
                <w:i/>
                <w:iCs/>
                <w:sz w:val="22"/>
                <w:szCs w:val="22"/>
                <w:lang w:val="en-US"/>
              </w:rPr>
              <w:t>7</w:t>
            </w:r>
            <w:r w:rsidRPr="00A4576B">
              <w:rPr>
                <w:rFonts w:ascii="Arial" w:hAnsi="Arial" w:cs="Arial"/>
                <w:bCs/>
                <w:sz w:val="22"/>
                <w:szCs w:val="22"/>
                <w:lang w:val="en-US"/>
              </w:rPr>
              <w:t>(3), 161–173. </w:t>
            </w:r>
          </w:p>
          <w:p w14:paraId="7D7BCE01" w14:textId="77777777" w:rsidR="00A4576B" w:rsidRPr="00A4576B" w:rsidRDefault="00A4576B" w:rsidP="00A4576B">
            <w:pPr>
              <w:ind w:left="351" w:hanging="351"/>
              <w:rPr>
                <w:rFonts w:ascii="Arial" w:hAnsi="Arial" w:cs="Arial"/>
                <w:bCs/>
                <w:sz w:val="22"/>
                <w:szCs w:val="22"/>
                <w:lang w:val="en-US"/>
              </w:rPr>
            </w:pPr>
            <w:r w:rsidRPr="00A4576B">
              <w:rPr>
                <w:rFonts w:ascii="Arial" w:hAnsi="Arial" w:cs="Arial"/>
                <w:bCs/>
                <w:sz w:val="22"/>
                <w:szCs w:val="22"/>
                <w:lang w:val="en-US"/>
              </w:rPr>
              <w:t xml:space="preserve">Remling, E. (2018). Logics, assumptions and genre chains: A framework for poststructuralist policy analysis. </w:t>
            </w:r>
            <w:r w:rsidRPr="00A4576B">
              <w:rPr>
                <w:rFonts w:ascii="Arial" w:hAnsi="Arial" w:cs="Arial"/>
                <w:bCs/>
                <w:i/>
                <w:iCs/>
                <w:sz w:val="22"/>
                <w:szCs w:val="22"/>
                <w:lang w:val="en-US"/>
              </w:rPr>
              <w:t>Critical Discourse Studies</w:t>
            </w:r>
            <w:r w:rsidRPr="00A4576B">
              <w:rPr>
                <w:rFonts w:ascii="Arial" w:hAnsi="Arial" w:cs="Arial"/>
                <w:bCs/>
                <w:sz w:val="22"/>
                <w:szCs w:val="22"/>
                <w:lang w:val="en-US"/>
              </w:rPr>
              <w:t xml:space="preserve">, </w:t>
            </w:r>
            <w:r w:rsidRPr="00A4576B">
              <w:rPr>
                <w:rFonts w:ascii="Arial" w:hAnsi="Arial" w:cs="Arial"/>
                <w:bCs/>
                <w:i/>
                <w:iCs/>
                <w:sz w:val="22"/>
                <w:szCs w:val="22"/>
                <w:lang w:val="en-US"/>
              </w:rPr>
              <w:t>15</w:t>
            </w:r>
            <w:r w:rsidRPr="00A4576B">
              <w:rPr>
                <w:rFonts w:ascii="Arial" w:hAnsi="Arial" w:cs="Arial"/>
                <w:bCs/>
                <w:sz w:val="22"/>
                <w:szCs w:val="22"/>
                <w:lang w:val="en-US"/>
              </w:rPr>
              <w:t>(1), 1–18. </w:t>
            </w:r>
          </w:p>
          <w:p w14:paraId="40FBFC7C" w14:textId="77777777" w:rsidR="00A4576B" w:rsidRDefault="00A4576B" w:rsidP="00BE58D6">
            <w:pPr>
              <w:jc w:val="both"/>
              <w:rPr>
                <w:rFonts w:ascii="Arial" w:hAnsi="Arial" w:cs="Arial"/>
                <w:b/>
                <w:sz w:val="22"/>
                <w:szCs w:val="22"/>
                <w:lang w:val="en-CA"/>
              </w:rPr>
            </w:pPr>
          </w:p>
          <w:p w14:paraId="2CBAECD6" w14:textId="729DADBB" w:rsidR="009F4EA0" w:rsidRPr="005C0E35" w:rsidRDefault="009F4EA0" w:rsidP="005C0E35">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0E68"/>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36EB4"/>
    <w:rsid w:val="00546103"/>
    <w:rsid w:val="005469BD"/>
    <w:rsid w:val="00550B17"/>
    <w:rsid w:val="005854B8"/>
    <w:rsid w:val="005C0E35"/>
    <w:rsid w:val="00612292"/>
    <w:rsid w:val="0065012F"/>
    <w:rsid w:val="0068043B"/>
    <w:rsid w:val="00681CA7"/>
    <w:rsid w:val="007358AB"/>
    <w:rsid w:val="008235E8"/>
    <w:rsid w:val="00853DC9"/>
    <w:rsid w:val="008773DF"/>
    <w:rsid w:val="008B01BA"/>
    <w:rsid w:val="008B50A0"/>
    <w:rsid w:val="008C0C35"/>
    <w:rsid w:val="008C22AD"/>
    <w:rsid w:val="008C2633"/>
    <w:rsid w:val="008E3D8D"/>
    <w:rsid w:val="008F2F93"/>
    <w:rsid w:val="009010B0"/>
    <w:rsid w:val="00906B39"/>
    <w:rsid w:val="00963443"/>
    <w:rsid w:val="009C374A"/>
    <w:rsid w:val="009F4EA0"/>
    <w:rsid w:val="00A4576B"/>
    <w:rsid w:val="00B026E8"/>
    <w:rsid w:val="00BA0872"/>
    <w:rsid w:val="00BA26BB"/>
    <w:rsid w:val="00BC6810"/>
    <w:rsid w:val="00BE0B4D"/>
    <w:rsid w:val="00BE58D6"/>
    <w:rsid w:val="00C1772E"/>
    <w:rsid w:val="00C26081"/>
    <w:rsid w:val="00C4126D"/>
    <w:rsid w:val="00C76C99"/>
    <w:rsid w:val="00C8423A"/>
    <w:rsid w:val="00CE53FE"/>
    <w:rsid w:val="00D716AD"/>
    <w:rsid w:val="00DB7929"/>
    <w:rsid w:val="00DD1BB3"/>
    <w:rsid w:val="00E50118"/>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87525">
      <w:bodyDiv w:val="1"/>
      <w:marLeft w:val="0"/>
      <w:marRight w:val="0"/>
      <w:marTop w:val="0"/>
      <w:marBottom w:val="0"/>
      <w:divBdr>
        <w:top w:val="none" w:sz="0" w:space="0" w:color="auto"/>
        <w:left w:val="none" w:sz="0" w:space="0" w:color="auto"/>
        <w:bottom w:val="none" w:sz="0" w:space="0" w:color="auto"/>
        <w:right w:val="none" w:sz="0" w:space="0" w:color="auto"/>
      </w:divBdr>
    </w:div>
    <w:div w:id="816410405">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102846613">
      <w:bodyDiv w:val="1"/>
      <w:marLeft w:val="0"/>
      <w:marRight w:val="0"/>
      <w:marTop w:val="0"/>
      <w:marBottom w:val="0"/>
      <w:divBdr>
        <w:top w:val="none" w:sz="0" w:space="0" w:color="auto"/>
        <w:left w:val="none" w:sz="0" w:space="0" w:color="auto"/>
        <w:bottom w:val="none" w:sz="0" w:space="0" w:color="auto"/>
        <w:right w:val="none" w:sz="0" w:space="0" w:color="auto"/>
      </w:divBdr>
    </w:div>
    <w:div w:id="1203784015">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d6a6e121-d50c-4cdd-915d-be3efe1a5960"/>
    <ds:schemaRef ds:uri="http://schemas.openxmlformats.org/package/2006/metadata/core-properties"/>
    <ds:schemaRef ds:uri="e0ff7cf5-f6dd-4f86-a169-6170032e9789"/>
    <ds:schemaRef ds:uri="http://purl.org/dc/dcmitype/"/>
  </ds:schemaRefs>
</ds:datastoreItem>
</file>

<file path=customXml/itemProps3.xml><?xml version="1.0" encoding="utf-8"?>
<ds:datastoreItem xmlns:ds="http://schemas.openxmlformats.org/officeDocument/2006/customXml" ds:itemID="{219BF5C1-6274-40AA-926A-C018B675BCCE}"/>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3913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2025-03-03T05:20:00Z</dcterms:created>
  <dcterms:modified xsi:type="dcterms:W3CDTF">2025-08-11T19:56:00Z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