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34C8F7C" w14:textId="38F0462D" w:rsidR="00455FEB" w:rsidRPr="00D87C6E" w:rsidRDefault="00F22DBC" w:rsidP="00455F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7C6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455FEB" w:rsidRPr="00D87C6E">
              <w:rPr>
                <w:rFonts w:ascii="Arial" w:hAnsi="Arial" w:cs="Arial"/>
                <w:b/>
                <w:sz w:val="22"/>
                <w:szCs w:val="22"/>
              </w:rPr>
              <w:t xml:space="preserve">on-invasive ventilation </w:t>
            </w:r>
            <w:r w:rsidRPr="00D87C6E">
              <w:rPr>
                <w:rFonts w:ascii="Arial" w:hAnsi="Arial" w:cs="Arial"/>
                <w:b/>
                <w:sz w:val="22"/>
                <w:szCs w:val="22"/>
              </w:rPr>
              <w:t xml:space="preserve">implementation </w:t>
            </w:r>
            <w:r w:rsidR="00455FEB" w:rsidRPr="00D87C6E">
              <w:rPr>
                <w:rFonts w:ascii="Arial" w:hAnsi="Arial" w:cs="Arial"/>
                <w:b/>
                <w:sz w:val="22"/>
                <w:szCs w:val="22"/>
              </w:rPr>
              <w:t>guidance in Australian hospitals</w:t>
            </w:r>
            <w:r w:rsidRPr="00D87C6E">
              <w:rPr>
                <w:rFonts w:ascii="Arial" w:hAnsi="Arial" w:cs="Arial"/>
                <w:b/>
                <w:sz w:val="22"/>
                <w:szCs w:val="22"/>
              </w:rPr>
              <w:t>: a systematic review</w:t>
            </w:r>
          </w:p>
          <w:p w14:paraId="5C44F357" w14:textId="374453B8" w:rsidR="00455FEB" w:rsidRPr="00D87C6E" w:rsidRDefault="00455FEB" w:rsidP="00455F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2E89D145" w14:textId="1B50AC14" w:rsidR="00D87C6E" w:rsidRPr="00D87C6E" w:rsidRDefault="00134D04" w:rsidP="000A200C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87C6E">
              <w:rPr>
                <w:rFonts w:ascii="Arial" w:hAnsi="Arial" w:cs="Arial"/>
                <w:sz w:val="22"/>
                <w:szCs w:val="22"/>
                <w:u w:val="single"/>
              </w:rPr>
              <w:t>Buchan C</w:t>
            </w:r>
            <w:r w:rsidRPr="00D87C6E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7C6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7C6E">
              <w:rPr>
                <w:rFonts w:ascii="Arial" w:hAnsi="Arial" w:cs="Arial"/>
                <w:sz w:val="22"/>
                <w:szCs w:val="22"/>
                <w:u w:val="single"/>
              </w:rPr>
              <w:t>Chukwu I</w:t>
            </w:r>
            <w:r w:rsidRPr="00D87C6E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1</w:t>
            </w:r>
            <w:r w:rsidRPr="00D87C6E">
              <w:rPr>
                <w:rFonts w:ascii="Arial" w:hAnsi="Arial" w:cs="Arial"/>
                <w:sz w:val="22"/>
                <w:szCs w:val="22"/>
              </w:rPr>
              <w:t>, Walker A</w:t>
            </w:r>
            <w:r w:rsidRPr="00D87C6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9C65B8">
              <w:rPr>
                <w:rFonts w:ascii="Arial" w:hAnsi="Arial" w:cs="Arial"/>
                <w:sz w:val="22"/>
                <w:szCs w:val="22"/>
                <w:vertAlign w:val="superscript"/>
              </w:rPr>
              <w:t>,3,4</w:t>
            </w:r>
            <w:r w:rsidRPr="00D87C6E">
              <w:rPr>
                <w:rFonts w:ascii="Arial" w:hAnsi="Arial" w:cs="Arial"/>
                <w:sz w:val="22"/>
                <w:szCs w:val="22"/>
              </w:rPr>
              <w:t>, Manoharan D</w:t>
            </w:r>
            <w:r w:rsidRPr="00D87C6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87C6E">
              <w:rPr>
                <w:rFonts w:ascii="Arial" w:hAnsi="Arial" w:cs="Arial"/>
                <w:sz w:val="22"/>
                <w:szCs w:val="22"/>
              </w:rPr>
              <w:t>, Dabscheck E</w:t>
            </w:r>
            <w:r w:rsidRPr="00D87C6E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D87C6E">
              <w:rPr>
                <w:rFonts w:ascii="Arial" w:hAnsi="Arial" w:cs="Arial"/>
                <w:sz w:val="22"/>
                <w:szCs w:val="22"/>
              </w:rPr>
              <w:t>, Smallwood N</w:t>
            </w:r>
            <w:r w:rsidRPr="00D87C6E">
              <w:rPr>
                <w:rFonts w:ascii="Arial" w:hAnsi="Arial" w:cs="Arial"/>
                <w:sz w:val="22"/>
                <w:szCs w:val="22"/>
                <w:vertAlign w:val="superscript"/>
              </w:rPr>
              <w:t>1,2,</w:t>
            </w:r>
            <w:r w:rsidR="009C65B8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  <w:p w14:paraId="73B55295" w14:textId="4A0EA2D6" w:rsidR="001564A4" w:rsidRPr="00D87C6E" w:rsidRDefault="001564A4" w:rsidP="000A200C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1564A4" w:rsidRPr="0050053A" w14:paraId="385A19D9" w14:textId="77777777" w:rsidTr="009C65B8">
        <w:trPr>
          <w:trHeight w:val="1539"/>
          <w:jc w:val="center"/>
        </w:trPr>
        <w:tc>
          <w:tcPr>
            <w:tcW w:w="8640" w:type="dxa"/>
            <w:shd w:val="clear" w:color="auto" w:fill="auto"/>
          </w:tcPr>
          <w:p w14:paraId="1CF336CF" w14:textId="2E06B3B4" w:rsidR="001564A4" w:rsidRPr="009C65B8" w:rsidRDefault="00134D04" w:rsidP="000A20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87C6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D87C6E">
              <w:rPr>
                <w:rFonts w:ascii="Arial" w:hAnsi="Arial" w:cs="Arial"/>
                <w:i/>
                <w:sz w:val="22"/>
                <w:szCs w:val="22"/>
              </w:rPr>
              <w:t xml:space="preserve">Respiratory </w:t>
            </w:r>
            <w:proofErr w:type="spellStart"/>
            <w:r w:rsidRPr="00D87C6E">
              <w:rPr>
                <w:rFonts w:ascii="Arial" w:hAnsi="Arial" w:cs="Arial"/>
                <w:i/>
                <w:sz w:val="22"/>
                <w:szCs w:val="22"/>
              </w:rPr>
              <w:t>research@alfred</w:t>
            </w:r>
            <w:proofErr w:type="spellEnd"/>
            <w:r w:rsidRPr="00D87C6E">
              <w:rPr>
                <w:rFonts w:ascii="Arial" w:hAnsi="Arial" w:cs="Arial"/>
                <w:i/>
                <w:sz w:val="22"/>
                <w:szCs w:val="22"/>
              </w:rPr>
              <w:t>, Monash University, Melbourne, Australia,</w:t>
            </w:r>
            <w:r w:rsidRPr="00D87C6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2</w:t>
            </w:r>
            <w:r w:rsidRPr="00D87C6E">
              <w:rPr>
                <w:rFonts w:ascii="Arial" w:hAnsi="Arial" w:cs="Arial"/>
                <w:i/>
                <w:sz w:val="22"/>
                <w:szCs w:val="22"/>
              </w:rPr>
              <w:t>Respiratory Medicine, Alfred Health, Melbourne, Australia</w:t>
            </w:r>
            <w:r w:rsidR="009C65B8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C65B8" w:rsidRPr="009C65B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</w:t>
            </w:r>
            <w:r w:rsidR="009C65B8">
              <w:rPr>
                <w:rFonts w:ascii="Arial" w:hAnsi="Arial" w:cs="Arial"/>
                <w:i/>
                <w:sz w:val="22"/>
                <w:szCs w:val="22"/>
              </w:rPr>
              <w:t xml:space="preserve">Department of Respiratory and Sleep, Central Adelaide Local Health Network, Adelaide, Australia </w:t>
            </w:r>
            <w:r w:rsidR="009C65B8" w:rsidRPr="006620F7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4</w:t>
            </w:r>
            <w:r w:rsidR="009C65B8">
              <w:rPr>
                <w:rFonts w:ascii="Arial" w:hAnsi="Arial" w:cs="Arial"/>
                <w:i/>
                <w:sz w:val="22"/>
                <w:szCs w:val="22"/>
              </w:rPr>
              <w:t xml:space="preserve"> Faculty of Health and Medical Sciences, University of Adelaide, Adelaide, Australia</w:t>
            </w:r>
            <w:r w:rsidR="009C65B8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C65B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5</w:t>
            </w:r>
            <w:r w:rsidR="009C65B8" w:rsidRPr="00287E9B">
              <w:rPr>
                <w:rFonts w:ascii="Arial" w:hAnsi="Arial" w:cs="Arial"/>
                <w:i/>
                <w:sz w:val="22"/>
                <w:szCs w:val="22"/>
              </w:rPr>
              <w:t>Department of Medicine, University of Melbourne, Melbourne, Australia</w:t>
            </w:r>
          </w:p>
          <w:p w14:paraId="45ED36BF" w14:textId="782E229F" w:rsidR="00D87C6E" w:rsidRPr="00287E9B" w:rsidRDefault="00D87C6E" w:rsidP="000A200C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0A200C" w14:paraId="6DAF615A" w14:textId="77777777" w:rsidTr="00BB1DDC">
        <w:trPr>
          <w:trHeight w:hRule="exact" w:val="10868"/>
          <w:jc w:val="center"/>
        </w:trPr>
        <w:tc>
          <w:tcPr>
            <w:tcW w:w="8640" w:type="dxa"/>
            <w:shd w:val="clear" w:color="auto" w:fill="auto"/>
          </w:tcPr>
          <w:p w14:paraId="2848F6E7" w14:textId="1621C33D" w:rsidR="00134D04" w:rsidRPr="001E1421" w:rsidRDefault="001564A4" w:rsidP="00EF49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21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 xml:space="preserve">Non-invasive ventilation (NIV) is used </w:t>
            </w:r>
            <w:r w:rsidR="00FF6037" w:rsidRPr="001E1421">
              <w:rPr>
                <w:rFonts w:ascii="Arial" w:hAnsi="Arial" w:cs="Arial"/>
                <w:sz w:val="22"/>
                <w:szCs w:val="22"/>
              </w:rPr>
              <w:t>often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DBC" w:rsidRPr="001E1421">
              <w:rPr>
                <w:rFonts w:ascii="Arial" w:hAnsi="Arial" w:cs="Arial"/>
                <w:sz w:val="22"/>
                <w:szCs w:val="22"/>
              </w:rPr>
              <w:t>outside high acuity settings to manage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 xml:space="preserve"> acute hypercapnic respiratory failure. We aimed to review NIV guidance documents </w:t>
            </w:r>
            <w:r w:rsidR="00F22DBC" w:rsidRPr="001E1421">
              <w:rPr>
                <w:rFonts w:ascii="Arial" w:hAnsi="Arial" w:cs="Arial"/>
                <w:sz w:val="22"/>
                <w:szCs w:val="22"/>
              </w:rPr>
              <w:t>from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 xml:space="preserve"> Australian hospitals, to identify </w:t>
            </w:r>
            <w:r w:rsidR="00F22DBC" w:rsidRPr="001E1421">
              <w:rPr>
                <w:rFonts w:ascii="Arial" w:hAnsi="Arial" w:cs="Arial"/>
                <w:sz w:val="22"/>
                <w:szCs w:val="22"/>
              </w:rPr>
              <w:t xml:space="preserve">current practice, 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 xml:space="preserve">any variations and generate standardised core </w:t>
            </w:r>
            <w:r w:rsidR="00F22DBC" w:rsidRPr="001E1421">
              <w:rPr>
                <w:rFonts w:ascii="Arial" w:hAnsi="Arial" w:cs="Arial"/>
                <w:sz w:val="22"/>
                <w:szCs w:val="22"/>
              </w:rPr>
              <w:t xml:space="preserve">implementation </w:t>
            </w:r>
            <w:r w:rsidR="00134D04" w:rsidRPr="001E1421">
              <w:rPr>
                <w:rFonts w:ascii="Arial" w:hAnsi="Arial" w:cs="Arial"/>
                <w:sz w:val="22"/>
                <w:szCs w:val="22"/>
              </w:rPr>
              <w:t>recommendations.</w:t>
            </w:r>
          </w:p>
          <w:p w14:paraId="2606C6D1" w14:textId="77777777" w:rsidR="00AC28C7" w:rsidRPr="001E1421" w:rsidRDefault="00AC28C7" w:rsidP="00EF49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39336E" w14:textId="4A3B8EC2" w:rsidR="001564A4" w:rsidRPr="001E1421" w:rsidRDefault="001564A4" w:rsidP="00EF4970">
            <w:pPr>
              <w:pStyle w:val="Pa12"/>
              <w:jc w:val="both"/>
              <w:rPr>
                <w:sz w:val="22"/>
                <w:szCs w:val="22"/>
              </w:rPr>
            </w:pPr>
            <w:r w:rsidRPr="001E1421">
              <w:rPr>
                <w:rStyle w:val="A4"/>
                <w:b/>
                <w:bCs/>
              </w:rPr>
              <w:t xml:space="preserve">Methods: </w:t>
            </w:r>
            <w:r w:rsidR="00134D04" w:rsidRPr="001E1421">
              <w:rPr>
                <w:sz w:val="22"/>
                <w:szCs w:val="22"/>
              </w:rPr>
              <w:t xml:space="preserve">A systematic review of </w:t>
            </w:r>
            <w:r w:rsidR="00F22DBC" w:rsidRPr="001E1421">
              <w:rPr>
                <w:sz w:val="22"/>
                <w:szCs w:val="22"/>
              </w:rPr>
              <w:t xml:space="preserve">Australian hospitals’ </w:t>
            </w:r>
            <w:r w:rsidR="00134D04" w:rsidRPr="001E1421">
              <w:rPr>
                <w:sz w:val="22"/>
                <w:szCs w:val="22"/>
              </w:rPr>
              <w:t xml:space="preserve">NIV guidelines, protocols, procedures and policies for adult inpatients were identified via the PROMPT database and other networks. Data extracted included </w:t>
            </w:r>
            <w:r w:rsidR="00F22DBC" w:rsidRPr="001E1421">
              <w:rPr>
                <w:sz w:val="22"/>
                <w:szCs w:val="22"/>
              </w:rPr>
              <w:t xml:space="preserve">care settings, </w:t>
            </w:r>
            <w:r w:rsidR="00134D04" w:rsidRPr="001E1421">
              <w:rPr>
                <w:sz w:val="22"/>
                <w:szCs w:val="22"/>
              </w:rPr>
              <w:t>NIV initiation, maintenance, weaning</w:t>
            </w:r>
            <w:r w:rsidR="0000309A">
              <w:rPr>
                <w:sz w:val="22"/>
                <w:szCs w:val="22"/>
              </w:rPr>
              <w:t xml:space="preserve">, </w:t>
            </w:r>
            <w:r w:rsidR="00134D04" w:rsidRPr="001E1421">
              <w:rPr>
                <w:sz w:val="22"/>
                <w:szCs w:val="22"/>
              </w:rPr>
              <w:t>escalation</w:t>
            </w:r>
            <w:r w:rsidR="00F22DBC" w:rsidRPr="001E1421">
              <w:rPr>
                <w:sz w:val="22"/>
                <w:szCs w:val="22"/>
              </w:rPr>
              <w:t>,</w:t>
            </w:r>
            <w:r w:rsidR="00134D04" w:rsidRPr="001E1421">
              <w:rPr>
                <w:sz w:val="22"/>
                <w:szCs w:val="22"/>
              </w:rPr>
              <w:t xml:space="preserve"> and processes of care.</w:t>
            </w:r>
          </w:p>
          <w:p w14:paraId="18EA217F" w14:textId="77777777" w:rsidR="00AC28C7" w:rsidRPr="001E1421" w:rsidRDefault="00AC28C7" w:rsidP="00EF497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329299C" w14:textId="7DFD9A62" w:rsidR="003021E5" w:rsidRPr="001E1421" w:rsidRDefault="00134D04" w:rsidP="00DE17A8">
            <w:pPr>
              <w:pStyle w:val="Default"/>
              <w:jc w:val="both"/>
              <w:rPr>
                <w:sz w:val="22"/>
                <w:szCs w:val="22"/>
              </w:rPr>
            </w:pPr>
            <w:r w:rsidRPr="001E1421">
              <w:rPr>
                <w:b/>
                <w:sz w:val="22"/>
                <w:szCs w:val="22"/>
              </w:rPr>
              <w:t>Results:</w:t>
            </w:r>
            <w:r w:rsidRPr="001E1421">
              <w:rPr>
                <w:sz w:val="22"/>
                <w:szCs w:val="22"/>
              </w:rPr>
              <w:t xml:space="preserve"> Of 126,260 documents identified, </w:t>
            </w:r>
            <w:r w:rsidR="00005E08" w:rsidRPr="001E1421">
              <w:rPr>
                <w:sz w:val="22"/>
                <w:szCs w:val="22"/>
              </w:rPr>
              <w:t xml:space="preserve">22 </w:t>
            </w:r>
            <w:r w:rsidRPr="001E1421">
              <w:rPr>
                <w:sz w:val="22"/>
                <w:szCs w:val="22"/>
              </w:rPr>
              <w:t>were included</w:t>
            </w:r>
            <w:r w:rsidR="00F22DBC" w:rsidRPr="001E1421">
              <w:rPr>
                <w:sz w:val="22"/>
                <w:szCs w:val="22"/>
              </w:rPr>
              <w:t>, with</w:t>
            </w:r>
            <w:r w:rsidRPr="001E1421">
              <w:rPr>
                <w:sz w:val="22"/>
                <w:szCs w:val="22"/>
              </w:rPr>
              <w:t xml:space="preserve"> </w:t>
            </w:r>
            <w:r w:rsidR="00005E08" w:rsidRPr="001E1421">
              <w:rPr>
                <w:sz w:val="22"/>
                <w:szCs w:val="22"/>
              </w:rPr>
              <w:t>16</w:t>
            </w:r>
            <w:r w:rsidR="00AC28C7" w:rsidRPr="001E1421">
              <w:rPr>
                <w:sz w:val="22"/>
                <w:szCs w:val="22"/>
              </w:rPr>
              <w:t xml:space="preserve"> </w:t>
            </w:r>
            <w:r w:rsidRPr="001E1421">
              <w:rPr>
                <w:sz w:val="22"/>
                <w:szCs w:val="22"/>
              </w:rPr>
              <w:t>Victorian hospitals (7</w:t>
            </w:r>
            <w:r w:rsidR="00005E08" w:rsidRPr="001E1421">
              <w:rPr>
                <w:sz w:val="22"/>
                <w:szCs w:val="22"/>
              </w:rPr>
              <w:t>2.7</w:t>
            </w:r>
            <w:r w:rsidRPr="001E1421">
              <w:rPr>
                <w:sz w:val="22"/>
                <w:szCs w:val="22"/>
              </w:rPr>
              <w:t xml:space="preserve">%), 13 </w:t>
            </w:r>
            <w:r w:rsidR="00AC28C7" w:rsidRPr="001E1421">
              <w:rPr>
                <w:sz w:val="22"/>
                <w:szCs w:val="22"/>
              </w:rPr>
              <w:t>(59.1</w:t>
            </w:r>
            <w:r w:rsidRPr="001E1421">
              <w:rPr>
                <w:sz w:val="22"/>
                <w:szCs w:val="22"/>
              </w:rPr>
              <w:t xml:space="preserve">%) metropolitan, </w:t>
            </w:r>
            <w:r w:rsidR="00AC28C7" w:rsidRPr="001E1421">
              <w:rPr>
                <w:sz w:val="22"/>
                <w:szCs w:val="22"/>
              </w:rPr>
              <w:t>7 (31.8</w:t>
            </w:r>
            <w:r w:rsidRPr="001E1421">
              <w:rPr>
                <w:sz w:val="22"/>
                <w:szCs w:val="22"/>
              </w:rPr>
              <w:t xml:space="preserve">%) rural and 2 </w:t>
            </w:r>
            <w:r w:rsidR="00AC28C7" w:rsidRPr="001E1421">
              <w:rPr>
                <w:sz w:val="22"/>
                <w:szCs w:val="22"/>
              </w:rPr>
              <w:t>(9.1</w:t>
            </w:r>
            <w:r w:rsidR="00C5707E" w:rsidRPr="001E1421">
              <w:rPr>
                <w:sz w:val="22"/>
                <w:szCs w:val="22"/>
              </w:rPr>
              <w:t xml:space="preserve"> </w:t>
            </w:r>
            <w:r w:rsidRPr="001E1421">
              <w:rPr>
                <w:sz w:val="22"/>
                <w:szCs w:val="22"/>
              </w:rPr>
              <w:t xml:space="preserve">%) regional. </w:t>
            </w:r>
            <w:r w:rsidR="00F22DBC" w:rsidRPr="001E1421">
              <w:rPr>
                <w:sz w:val="22"/>
                <w:szCs w:val="22"/>
              </w:rPr>
              <w:t>Most</w:t>
            </w:r>
            <w:r w:rsidRPr="001E1421">
              <w:rPr>
                <w:sz w:val="22"/>
                <w:szCs w:val="22"/>
              </w:rPr>
              <w:t xml:space="preserve"> focused </w:t>
            </w:r>
            <w:r w:rsidR="00F22DBC" w:rsidRPr="001E1421">
              <w:rPr>
                <w:sz w:val="22"/>
                <w:szCs w:val="22"/>
              </w:rPr>
              <w:t xml:space="preserve">NIV use in </w:t>
            </w:r>
            <w:r w:rsidRPr="001E1421">
              <w:rPr>
                <w:sz w:val="22"/>
                <w:szCs w:val="22"/>
              </w:rPr>
              <w:t xml:space="preserve">general </w:t>
            </w:r>
            <w:r w:rsidR="00074277">
              <w:rPr>
                <w:sz w:val="22"/>
                <w:szCs w:val="22"/>
              </w:rPr>
              <w:t xml:space="preserve">wards </w:t>
            </w:r>
            <w:r w:rsidRPr="001E1421">
              <w:rPr>
                <w:sz w:val="22"/>
                <w:szCs w:val="22"/>
              </w:rPr>
              <w:t>(n=1</w:t>
            </w:r>
            <w:r w:rsidR="00C5707E" w:rsidRPr="001E1421">
              <w:rPr>
                <w:sz w:val="22"/>
                <w:szCs w:val="22"/>
              </w:rPr>
              <w:t>1</w:t>
            </w:r>
            <w:r w:rsidRPr="001E1421">
              <w:rPr>
                <w:sz w:val="22"/>
                <w:szCs w:val="22"/>
              </w:rPr>
              <w:t>, 5</w:t>
            </w:r>
            <w:r w:rsidR="00C5707E" w:rsidRPr="001E1421">
              <w:rPr>
                <w:sz w:val="22"/>
                <w:szCs w:val="22"/>
              </w:rPr>
              <w:t>0.0</w:t>
            </w:r>
            <w:r w:rsidRPr="001E1421">
              <w:rPr>
                <w:sz w:val="22"/>
                <w:szCs w:val="22"/>
              </w:rPr>
              <w:t>%</w:t>
            </w:r>
            <w:r w:rsidR="00E86A80" w:rsidRPr="001E1421">
              <w:rPr>
                <w:sz w:val="22"/>
                <w:szCs w:val="22"/>
              </w:rPr>
              <w:t>)</w:t>
            </w:r>
            <w:r w:rsidR="00074277">
              <w:rPr>
                <w:sz w:val="22"/>
                <w:szCs w:val="22"/>
              </w:rPr>
              <w:t xml:space="preserve">, </w:t>
            </w:r>
            <w:r w:rsidR="0000309A" w:rsidRPr="001E1421">
              <w:rPr>
                <w:sz w:val="22"/>
                <w:szCs w:val="22"/>
              </w:rPr>
              <w:t>respiratory</w:t>
            </w:r>
            <w:r w:rsidRPr="001E1421">
              <w:rPr>
                <w:sz w:val="22"/>
                <w:szCs w:val="22"/>
              </w:rPr>
              <w:t xml:space="preserve"> wards (n=7, </w:t>
            </w:r>
            <w:r w:rsidR="00C5707E" w:rsidRPr="001E1421">
              <w:rPr>
                <w:sz w:val="22"/>
                <w:szCs w:val="22"/>
              </w:rPr>
              <w:t>31.8</w:t>
            </w:r>
            <w:r w:rsidRPr="001E1421">
              <w:rPr>
                <w:sz w:val="22"/>
                <w:szCs w:val="22"/>
              </w:rPr>
              <w:t>%)</w:t>
            </w:r>
            <w:r w:rsidR="00325245">
              <w:rPr>
                <w:sz w:val="22"/>
                <w:szCs w:val="22"/>
              </w:rPr>
              <w:t>,</w:t>
            </w:r>
            <w:r w:rsidRPr="001E1421">
              <w:rPr>
                <w:sz w:val="22"/>
                <w:szCs w:val="22"/>
              </w:rPr>
              <w:t xml:space="preserve"> and </w:t>
            </w:r>
            <w:r w:rsidR="004E6B72" w:rsidRPr="001E1421">
              <w:rPr>
                <w:sz w:val="22"/>
                <w:szCs w:val="22"/>
              </w:rPr>
              <w:t>respiratory care unit</w:t>
            </w:r>
            <w:r w:rsidR="00F22DBC" w:rsidRPr="001E1421">
              <w:rPr>
                <w:sz w:val="22"/>
                <w:szCs w:val="22"/>
              </w:rPr>
              <w:t>s</w:t>
            </w:r>
            <w:r w:rsidR="004E6B72" w:rsidRPr="001E1421">
              <w:rPr>
                <w:sz w:val="22"/>
                <w:szCs w:val="22"/>
              </w:rPr>
              <w:t xml:space="preserve"> </w:t>
            </w:r>
            <w:r w:rsidR="00AC28C7" w:rsidRPr="001E1421">
              <w:rPr>
                <w:sz w:val="22"/>
                <w:szCs w:val="22"/>
              </w:rPr>
              <w:t>(n=4, 18.2</w:t>
            </w:r>
            <w:r w:rsidR="0082319E" w:rsidRPr="001E1421">
              <w:rPr>
                <w:sz w:val="22"/>
                <w:szCs w:val="22"/>
              </w:rPr>
              <w:t>%</w:t>
            </w:r>
            <w:r w:rsidR="00F22DBC" w:rsidRPr="001E1421">
              <w:rPr>
                <w:sz w:val="22"/>
                <w:szCs w:val="22"/>
              </w:rPr>
              <w:t>)</w:t>
            </w:r>
            <w:r w:rsidRPr="001E1421">
              <w:rPr>
                <w:sz w:val="22"/>
                <w:szCs w:val="22"/>
              </w:rPr>
              <w:t xml:space="preserve">. </w:t>
            </w:r>
            <w:r w:rsidR="0011686B" w:rsidRPr="001E1421">
              <w:rPr>
                <w:sz w:val="22"/>
                <w:szCs w:val="22"/>
              </w:rPr>
              <w:t xml:space="preserve">International </w:t>
            </w:r>
            <w:r w:rsidR="001A0D37" w:rsidRPr="001E1421">
              <w:rPr>
                <w:sz w:val="22"/>
                <w:szCs w:val="22"/>
              </w:rPr>
              <w:t xml:space="preserve">NIV guidelines were </w:t>
            </w:r>
            <w:r w:rsidR="009C65B8" w:rsidRPr="001E1421">
              <w:rPr>
                <w:sz w:val="22"/>
                <w:szCs w:val="22"/>
              </w:rPr>
              <w:t>rarely</w:t>
            </w:r>
            <w:r w:rsidR="009C65B8" w:rsidRPr="001E1421">
              <w:rPr>
                <w:sz w:val="22"/>
                <w:szCs w:val="22"/>
              </w:rPr>
              <w:t xml:space="preserve"> </w:t>
            </w:r>
            <w:r w:rsidR="001A0D37" w:rsidRPr="001E1421">
              <w:rPr>
                <w:sz w:val="22"/>
                <w:szCs w:val="22"/>
              </w:rPr>
              <w:t xml:space="preserve">referenced </w:t>
            </w:r>
            <w:r w:rsidR="00F22DBC" w:rsidRPr="001E1421">
              <w:rPr>
                <w:sz w:val="22"/>
                <w:szCs w:val="22"/>
              </w:rPr>
              <w:t xml:space="preserve">(n=4, 18.1%). </w:t>
            </w:r>
          </w:p>
          <w:p w14:paraId="56811A1E" w14:textId="77777777" w:rsidR="00EF4970" w:rsidRPr="001E1421" w:rsidRDefault="00EF4970" w:rsidP="00DE17A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80E88D8" w14:textId="3C12F09A" w:rsidR="00F22DBC" w:rsidRPr="001E1421" w:rsidRDefault="001A0D37" w:rsidP="00EF4970">
            <w:pPr>
              <w:pStyle w:val="Pa12"/>
              <w:jc w:val="both"/>
              <w:rPr>
                <w:sz w:val="22"/>
                <w:szCs w:val="22"/>
              </w:rPr>
            </w:pPr>
            <w:r w:rsidRPr="001E1421">
              <w:rPr>
                <w:sz w:val="22"/>
                <w:szCs w:val="22"/>
              </w:rPr>
              <w:t xml:space="preserve">Hypercapnia was </w:t>
            </w:r>
            <w:r w:rsidR="00F1283F" w:rsidRPr="001E1421">
              <w:rPr>
                <w:sz w:val="22"/>
                <w:szCs w:val="22"/>
              </w:rPr>
              <w:t>infrequently</w:t>
            </w:r>
            <w:r w:rsidR="006F6F7F" w:rsidRPr="001E1421">
              <w:rPr>
                <w:sz w:val="22"/>
                <w:szCs w:val="22"/>
              </w:rPr>
              <w:t xml:space="preserve"> </w:t>
            </w:r>
            <w:r w:rsidRPr="001E1421">
              <w:rPr>
                <w:sz w:val="22"/>
                <w:szCs w:val="22"/>
              </w:rPr>
              <w:t>defined (n=11, 50.0</w:t>
            </w:r>
            <w:r w:rsidR="00F60CDE" w:rsidRPr="001E1421">
              <w:rPr>
                <w:sz w:val="22"/>
                <w:szCs w:val="22"/>
              </w:rPr>
              <w:t>%)</w:t>
            </w:r>
            <w:r w:rsidR="00F22DBC" w:rsidRPr="001E1421">
              <w:rPr>
                <w:sz w:val="22"/>
                <w:szCs w:val="22"/>
              </w:rPr>
              <w:t>, despite being</w:t>
            </w:r>
            <w:r w:rsidR="00F60CDE" w:rsidRPr="001E1421">
              <w:rPr>
                <w:sz w:val="22"/>
                <w:szCs w:val="22"/>
              </w:rPr>
              <w:t xml:space="preserve"> most common indication for NIV </w:t>
            </w:r>
            <w:r w:rsidR="00F22DBC" w:rsidRPr="001E1421">
              <w:rPr>
                <w:sz w:val="22"/>
                <w:szCs w:val="22"/>
              </w:rPr>
              <w:t xml:space="preserve">use </w:t>
            </w:r>
            <w:r w:rsidR="00F60CDE" w:rsidRPr="001E1421">
              <w:rPr>
                <w:sz w:val="22"/>
                <w:szCs w:val="22"/>
              </w:rPr>
              <w:t>(n=16, 72.7%)</w:t>
            </w:r>
            <w:r w:rsidR="00F22DBC" w:rsidRPr="001E1421">
              <w:rPr>
                <w:sz w:val="22"/>
                <w:szCs w:val="22"/>
              </w:rPr>
              <w:t xml:space="preserve">. Eight </w:t>
            </w:r>
            <w:r w:rsidR="00F60CDE" w:rsidRPr="001E1421">
              <w:rPr>
                <w:sz w:val="22"/>
                <w:szCs w:val="22"/>
              </w:rPr>
              <w:t xml:space="preserve">(36.4%) </w:t>
            </w:r>
            <w:r w:rsidR="00F22DBC" w:rsidRPr="001E1421">
              <w:rPr>
                <w:sz w:val="22"/>
                <w:szCs w:val="22"/>
              </w:rPr>
              <w:t xml:space="preserve">correctly </w:t>
            </w:r>
            <w:r w:rsidR="00F60CDE" w:rsidRPr="001E1421">
              <w:rPr>
                <w:sz w:val="22"/>
                <w:szCs w:val="22"/>
              </w:rPr>
              <w:t>defin</w:t>
            </w:r>
            <w:r w:rsidR="00E86A80" w:rsidRPr="001E1421">
              <w:rPr>
                <w:sz w:val="22"/>
                <w:szCs w:val="22"/>
              </w:rPr>
              <w:t>ed</w:t>
            </w:r>
            <w:r w:rsidR="00F60CDE" w:rsidRPr="001E1421">
              <w:rPr>
                <w:sz w:val="22"/>
                <w:szCs w:val="22"/>
              </w:rPr>
              <w:t xml:space="preserve"> hypercapnia as </w:t>
            </w:r>
            <w:r w:rsidR="0082319E" w:rsidRPr="001E1421">
              <w:rPr>
                <w:sz w:val="22"/>
                <w:szCs w:val="22"/>
              </w:rPr>
              <w:t xml:space="preserve">pH &lt;7.35 </w:t>
            </w:r>
            <w:r w:rsidR="00F60CDE" w:rsidRPr="001E1421">
              <w:rPr>
                <w:sz w:val="22"/>
                <w:szCs w:val="22"/>
              </w:rPr>
              <w:t>and pCO2 &gt;45mmHg</w:t>
            </w:r>
            <w:r w:rsidR="004E6B72" w:rsidRPr="001E1421">
              <w:rPr>
                <w:sz w:val="22"/>
                <w:szCs w:val="22"/>
              </w:rPr>
              <w:t xml:space="preserve">. </w:t>
            </w:r>
            <w:r w:rsidR="00F22DBC" w:rsidRPr="001E1421">
              <w:rPr>
                <w:sz w:val="22"/>
                <w:szCs w:val="22"/>
              </w:rPr>
              <w:t xml:space="preserve">Most recommended arterial blood gas </w:t>
            </w:r>
            <w:r w:rsidR="004E6B72" w:rsidRPr="001E1421">
              <w:rPr>
                <w:sz w:val="22"/>
                <w:szCs w:val="22"/>
              </w:rPr>
              <w:t xml:space="preserve">prior to </w:t>
            </w:r>
            <w:r w:rsidR="00F22DBC" w:rsidRPr="001E1421">
              <w:rPr>
                <w:sz w:val="22"/>
                <w:szCs w:val="22"/>
              </w:rPr>
              <w:t xml:space="preserve">NIV </w:t>
            </w:r>
            <w:r w:rsidR="004E6B72" w:rsidRPr="001E1421">
              <w:rPr>
                <w:sz w:val="22"/>
                <w:szCs w:val="22"/>
              </w:rPr>
              <w:t xml:space="preserve">initiation (n=17, </w:t>
            </w:r>
            <w:r w:rsidR="00F60CDE" w:rsidRPr="001E1421">
              <w:rPr>
                <w:sz w:val="22"/>
                <w:szCs w:val="22"/>
              </w:rPr>
              <w:t>77.3%)</w:t>
            </w:r>
            <w:r w:rsidR="00B35BDC">
              <w:rPr>
                <w:sz w:val="22"/>
                <w:szCs w:val="22"/>
              </w:rPr>
              <w:t xml:space="preserve">; </w:t>
            </w:r>
            <w:r w:rsidR="00942675" w:rsidRPr="001E1421">
              <w:rPr>
                <w:sz w:val="22"/>
                <w:szCs w:val="22"/>
              </w:rPr>
              <w:t>up</w:t>
            </w:r>
            <w:r w:rsidR="00942675">
              <w:rPr>
                <w:sz w:val="22"/>
                <w:szCs w:val="22"/>
              </w:rPr>
              <w:t>-</w:t>
            </w:r>
            <w:r w:rsidR="00942675" w:rsidRPr="001E1421">
              <w:rPr>
                <w:sz w:val="22"/>
                <w:szCs w:val="22"/>
              </w:rPr>
              <w:t>titration and maintenance (n=18, 81.8%) but rarely when weaning (n=1, 4.5%)</w:t>
            </w:r>
            <w:r w:rsidR="00B35BDC">
              <w:rPr>
                <w:sz w:val="22"/>
                <w:szCs w:val="22"/>
              </w:rPr>
              <w:t>. Few</w:t>
            </w:r>
            <w:r w:rsidR="00F22DBC" w:rsidRPr="001E1421">
              <w:rPr>
                <w:sz w:val="22"/>
                <w:szCs w:val="22"/>
              </w:rPr>
              <w:t xml:space="preserve"> recommended </w:t>
            </w:r>
            <w:r w:rsidR="004E6B72" w:rsidRPr="001E1421">
              <w:rPr>
                <w:sz w:val="22"/>
                <w:szCs w:val="22"/>
              </w:rPr>
              <w:t>SpO</w:t>
            </w:r>
            <w:r w:rsidR="004E6B72" w:rsidRPr="001E1421">
              <w:rPr>
                <w:sz w:val="22"/>
                <w:szCs w:val="22"/>
                <w:vertAlign w:val="subscript"/>
              </w:rPr>
              <w:t>2</w:t>
            </w:r>
            <w:r w:rsidR="004E6B72" w:rsidRPr="001E1421">
              <w:rPr>
                <w:sz w:val="22"/>
                <w:szCs w:val="22"/>
              </w:rPr>
              <w:t xml:space="preserve"> </w:t>
            </w:r>
            <w:r w:rsidR="004B7EF4" w:rsidRPr="001E1421">
              <w:rPr>
                <w:sz w:val="22"/>
                <w:szCs w:val="22"/>
              </w:rPr>
              <w:t xml:space="preserve">aims </w:t>
            </w:r>
            <w:r w:rsidR="00F22DBC" w:rsidRPr="001E1421">
              <w:rPr>
                <w:sz w:val="22"/>
                <w:szCs w:val="22"/>
              </w:rPr>
              <w:t>on NIV</w:t>
            </w:r>
            <w:r w:rsidR="007F5B25">
              <w:rPr>
                <w:sz w:val="22"/>
                <w:szCs w:val="22"/>
              </w:rPr>
              <w:t>,</w:t>
            </w:r>
            <w:r w:rsidR="004E6B72" w:rsidRPr="001E1421">
              <w:rPr>
                <w:sz w:val="22"/>
                <w:szCs w:val="22"/>
              </w:rPr>
              <w:t xml:space="preserve"> 88-92% (n=</w:t>
            </w:r>
            <w:r w:rsidR="00F22DBC" w:rsidRPr="001E1421">
              <w:rPr>
                <w:sz w:val="22"/>
                <w:szCs w:val="22"/>
              </w:rPr>
              <w:t>8</w:t>
            </w:r>
            <w:r w:rsidR="004E6B72" w:rsidRPr="001E1421">
              <w:rPr>
                <w:sz w:val="22"/>
                <w:szCs w:val="22"/>
              </w:rPr>
              <w:t xml:space="preserve">, </w:t>
            </w:r>
            <w:r w:rsidR="00F22DBC" w:rsidRPr="001E1421">
              <w:rPr>
                <w:sz w:val="22"/>
                <w:szCs w:val="22"/>
              </w:rPr>
              <w:t>36</w:t>
            </w:r>
            <w:r w:rsidR="004E6B72" w:rsidRPr="001E1421">
              <w:rPr>
                <w:sz w:val="22"/>
                <w:szCs w:val="22"/>
              </w:rPr>
              <w:t>.</w:t>
            </w:r>
            <w:r w:rsidR="00F22DBC" w:rsidRPr="001E1421">
              <w:rPr>
                <w:sz w:val="22"/>
                <w:szCs w:val="22"/>
              </w:rPr>
              <w:t>4</w:t>
            </w:r>
            <w:r w:rsidR="004E6B72" w:rsidRPr="001E1421">
              <w:rPr>
                <w:sz w:val="22"/>
                <w:szCs w:val="22"/>
              </w:rPr>
              <w:t>%)</w:t>
            </w:r>
            <w:r w:rsidR="00F1283F" w:rsidRPr="001E1421">
              <w:rPr>
                <w:sz w:val="22"/>
                <w:szCs w:val="22"/>
              </w:rPr>
              <w:t>.</w:t>
            </w:r>
            <w:r w:rsidR="005C08AE" w:rsidRPr="001E1421">
              <w:rPr>
                <w:sz w:val="22"/>
                <w:szCs w:val="22"/>
              </w:rPr>
              <w:t xml:space="preserve"> </w:t>
            </w:r>
          </w:p>
          <w:p w14:paraId="2A94DB2F" w14:textId="77777777" w:rsidR="00F22DBC" w:rsidRPr="001E1421" w:rsidRDefault="00F22DBC" w:rsidP="001E1421">
            <w:pPr>
              <w:pStyle w:val="Pa12"/>
              <w:jc w:val="both"/>
              <w:rPr>
                <w:sz w:val="22"/>
                <w:szCs w:val="22"/>
              </w:rPr>
            </w:pPr>
          </w:p>
          <w:p w14:paraId="3156558F" w14:textId="7E5F7544" w:rsidR="00134D04" w:rsidRPr="001E1421" w:rsidRDefault="004B7EF4" w:rsidP="00DE17A8">
            <w:pPr>
              <w:pStyle w:val="Pa12"/>
              <w:jc w:val="both"/>
              <w:rPr>
                <w:sz w:val="22"/>
                <w:szCs w:val="22"/>
              </w:rPr>
            </w:pPr>
            <w:r w:rsidRPr="001E1421">
              <w:rPr>
                <w:sz w:val="22"/>
                <w:szCs w:val="22"/>
              </w:rPr>
              <w:t xml:space="preserve">Senior (n=10, 45.4%) and junior (n=7, 31.8%) medical staff </w:t>
            </w:r>
            <w:r w:rsidR="00E126FB" w:rsidRPr="001E1421">
              <w:rPr>
                <w:sz w:val="22"/>
                <w:szCs w:val="22"/>
              </w:rPr>
              <w:t xml:space="preserve">were </w:t>
            </w:r>
            <w:r w:rsidR="00074277">
              <w:rPr>
                <w:sz w:val="22"/>
                <w:szCs w:val="22"/>
              </w:rPr>
              <w:t xml:space="preserve">the </w:t>
            </w:r>
            <w:r w:rsidRPr="001E1421">
              <w:rPr>
                <w:sz w:val="22"/>
                <w:szCs w:val="22"/>
              </w:rPr>
              <w:t xml:space="preserve">most often </w:t>
            </w:r>
            <w:r w:rsidR="00F22DBC" w:rsidRPr="001E1421">
              <w:rPr>
                <w:sz w:val="22"/>
                <w:szCs w:val="22"/>
              </w:rPr>
              <w:t xml:space="preserve">defined </w:t>
            </w:r>
            <w:r w:rsidR="00165AAF">
              <w:rPr>
                <w:sz w:val="22"/>
                <w:szCs w:val="22"/>
              </w:rPr>
              <w:t xml:space="preserve">NIV </w:t>
            </w:r>
            <w:r w:rsidR="00F22DBC" w:rsidRPr="001E1421">
              <w:rPr>
                <w:sz w:val="22"/>
                <w:szCs w:val="22"/>
              </w:rPr>
              <w:t>prescrib</w:t>
            </w:r>
            <w:r w:rsidR="00165AAF">
              <w:rPr>
                <w:sz w:val="22"/>
                <w:szCs w:val="22"/>
              </w:rPr>
              <w:t>ers,</w:t>
            </w:r>
            <w:r w:rsidR="00F22DBC" w:rsidRPr="001E1421">
              <w:rPr>
                <w:sz w:val="22"/>
                <w:szCs w:val="22"/>
              </w:rPr>
              <w:t xml:space="preserve"> </w:t>
            </w:r>
            <w:r w:rsidRPr="001E1421">
              <w:rPr>
                <w:sz w:val="22"/>
                <w:szCs w:val="22"/>
              </w:rPr>
              <w:t>followed by senior nurses (n=6, 27.3%</w:t>
            </w:r>
            <w:r w:rsidR="00400931">
              <w:rPr>
                <w:sz w:val="22"/>
                <w:szCs w:val="22"/>
              </w:rPr>
              <w:t>)</w:t>
            </w:r>
            <w:r w:rsidR="00DD0E2A">
              <w:rPr>
                <w:sz w:val="22"/>
                <w:szCs w:val="22"/>
              </w:rPr>
              <w:t>.</w:t>
            </w:r>
            <w:r w:rsidR="00400931" w:rsidRPr="001E1421">
              <w:rPr>
                <w:sz w:val="22"/>
                <w:szCs w:val="22"/>
              </w:rPr>
              <w:t xml:space="preserve"> </w:t>
            </w:r>
            <w:r w:rsidR="00BB1DDC">
              <w:rPr>
                <w:sz w:val="22"/>
                <w:szCs w:val="22"/>
              </w:rPr>
              <w:t xml:space="preserve">NIV initiation parameters </w:t>
            </w:r>
            <w:r w:rsidR="00287E9B">
              <w:rPr>
                <w:sz w:val="22"/>
                <w:szCs w:val="22"/>
              </w:rPr>
              <w:t>frequently defined</w:t>
            </w:r>
            <w:r w:rsidR="00812185">
              <w:rPr>
                <w:sz w:val="22"/>
                <w:szCs w:val="22"/>
              </w:rPr>
              <w:t xml:space="preserve"> </w:t>
            </w:r>
            <w:r w:rsidR="00BB1DDC">
              <w:rPr>
                <w:sz w:val="22"/>
                <w:szCs w:val="22"/>
              </w:rPr>
              <w:t>(n=12, 54.5%)</w:t>
            </w:r>
            <w:r w:rsidR="00C14085">
              <w:rPr>
                <w:sz w:val="22"/>
                <w:szCs w:val="22"/>
              </w:rPr>
              <w:t xml:space="preserve">, however, weaning guidance </w:t>
            </w:r>
            <w:r w:rsidR="00A119F5">
              <w:rPr>
                <w:sz w:val="22"/>
                <w:szCs w:val="22"/>
              </w:rPr>
              <w:t xml:space="preserve">was </w:t>
            </w:r>
            <w:r w:rsidR="00C14085">
              <w:rPr>
                <w:sz w:val="22"/>
                <w:szCs w:val="22"/>
              </w:rPr>
              <w:t>less common (n=9, 41%)</w:t>
            </w:r>
            <w:r w:rsidR="00C14085" w:rsidRPr="001E1421">
              <w:rPr>
                <w:sz w:val="22"/>
                <w:szCs w:val="22"/>
              </w:rPr>
              <w:t>.</w:t>
            </w:r>
            <w:r w:rsidR="00C14085">
              <w:rPr>
                <w:sz w:val="22"/>
                <w:szCs w:val="22"/>
              </w:rPr>
              <w:t xml:space="preserve"> Clinical m</w:t>
            </w:r>
            <w:r w:rsidR="00EF4970" w:rsidRPr="001E1421">
              <w:rPr>
                <w:sz w:val="22"/>
                <w:szCs w:val="22"/>
              </w:rPr>
              <w:t xml:space="preserve">onitoring </w:t>
            </w:r>
            <w:r w:rsidR="009C65B8">
              <w:rPr>
                <w:sz w:val="22"/>
                <w:szCs w:val="22"/>
              </w:rPr>
              <w:t xml:space="preserve">requirements were </w:t>
            </w:r>
            <w:r w:rsidR="00C14085">
              <w:rPr>
                <w:sz w:val="22"/>
                <w:szCs w:val="22"/>
              </w:rPr>
              <w:t xml:space="preserve">consistently </w:t>
            </w:r>
            <w:r w:rsidR="00287E9B">
              <w:rPr>
                <w:sz w:val="22"/>
                <w:szCs w:val="22"/>
              </w:rPr>
              <w:t>stated</w:t>
            </w:r>
            <w:r w:rsidR="00DD0E2A">
              <w:rPr>
                <w:sz w:val="22"/>
                <w:szCs w:val="22"/>
              </w:rPr>
              <w:t xml:space="preserve"> </w:t>
            </w:r>
            <w:r w:rsidR="00EF4970" w:rsidRPr="001E1421">
              <w:rPr>
                <w:sz w:val="22"/>
                <w:szCs w:val="22"/>
              </w:rPr>
              <w:t>(n=21, 95.4%</w:t>
            </w:r>
            <w:r w:rsidR="00132FA1">
              <w:rPr>
                <w:sz w:val="22"/>
                <w:szCs w:val="22"/>
              </w:rPr>
              <w:t xml:space="preserve">), </w:t>
            </w:r>
            <w:r w:rsidR="009C65B8">
              <w:rPr>
                <w:sz w:val="22"/>
                <w:szCs w:val="22"/>
              </w:rPr>
              <w:t>h</w:t>
            </w:r>
            <w:r w:rsidR="009C65B8" w:rsidRPr="001E1421">
              <w:rPr>
                <w:sz w:val="22"/>
                <w:szCs w:val="22"/>
              </w:rPr>
              <w:t xml:space="preserve">owever, </w:t>
            </w:r>
            <w:r w:rsidR="009C65B8">
              <w:rPr>
                <w:sz w:val="22"/>
                <w:szCs w:val="22"/>
              </w:rPr>
              <w:t xml:space="preserve">clinical review criteria (n=9, </w:t>
            </w:r>
            <w:r w:rsidR="00134D04" w:rsidRPr="001E1421">
              <w:rPr>
                <w:sz w:val="22"/>
                <w:szCs w:val="22"/>
              </w:rPr>
              <w:t>40.</w:t>
            </w:r>
            <w:r w:rsidR="00931843" w:rsidRPr="001E1421">
              <w:rPr>
                <w:sz w:val="22"/>
                <w:szCs w:val="22"/>
              </w:rPr>
              <w:t>9</w:t>
            </w:r>
            <w:r w:rsidR="00134D04" w:rsidRPr="001E1421">
              <w:rPr>
                <w:sz w:val="22"/>
                <w:szCs w:val="22"/>
              </w:rPr>
              <w:t xml:space="preserve">%) </w:t>
            </w:r>
            <w:r w:rsidR="009C65B8">
              <w:rPr>
                <w:sz w:val="22"/>
                <w:szCs w:val="22"/>
              </w:rPr>
              <w:t>and p</w:t>
            </w:r>
            <w:r w:rsidR="00400931" w:rsidRPr="001E1421">
              <w:rPr>
                <w:sz w:val="22"/>
                <w:szCs w:val="22"/>
              </w:rPr>
              <w:t>atient deterioration</w:t>
            </w:r>
            <w:r w:rsidR="009966C9">
              <w:rPr>
                <w:sz w:val="22"/>
                <w:szCs w:val="22"/>
              </w:rPr>
              <w:t xml:space="preserve"> detection system</w:t>
            </w:r>
            <w:r w:rsidR="00785111">
              <w:rPr>
                <w:sz w:val="22"/>
                <w:szCs w:val="22"/>
              </w:rPr>
              <w:t>s</w:t>
            </w:r>
            <w:r w:rsidR="00400931" w:rsidRPr="001E1421">
              <w:rPr>
                <w:sz w:val="22"/>
                <w:szCs w:val="22"/>
              </w:rPr>
              <w:t xml:space="preserve"> </w:t>
            </w:r>
            <w:r w:rsidR="009C65B8" w:rsidRPr="001E1421">
              <w:rPr>
                <w:sz w:val="22"/>
                <w:szCs w:val="22"/>
              </w:rPr>
              <w:t>(n=10, 45.4%</w:t>
            </w:r>
            <w:r w:rsidR="009C65B8">
              <w:rPr>
                <w:sz w:val="22"/>
                <w:szCs w:val="22"/>
              </w:rPr>
              <w:t xml:space="preserve">) were </w:t>
            </w:r>
            <w:r w:rsidR="00074277">
              <w:rPr>
                <w:sz w:val="22"/>
                <w:szCs w:val="22"/>
              </w:rPr>
              <w:t>infrequently specified</w:t>
            </w:r>
            <w:r w:rsidR="00074277" w:rsidRPr="001E1421">
              <w:rPr>
                <w:sz w:val="22"/>
                <w:szCs w:val="22"/>
              </w:rPr>
              <w:t>.</w:t>
            </w:r>
            <w:r w:rsidR="00C14085">
              <w:t xml:space="preserve"> </w:t>
            </w:r>
            <w:r w:rsidR="00134D04" w:rsidRPr="001E1421">
              <w:rPr>
                <w:sz w:val="22"/>
                <w:szCs w:val="22"/>
              </w:rPr>
              <w:t xml:space="preserve">Guidance regarding </w:t>
            </w:r>
            <w:r w:rsidR="00931843" w:rsidRPr="001E1421">
              <w:rPr>
                <w:sz w:val="22"/>
                <w:szCs w:val="22"/>
              </w:rPr>
              <w:t xml:space="preserve">NIV </w:t>
            </w:r>
            <w:r w:rsidR="00134D04" w:rsidRPr="001E1421">
              <w:rPr>
                <w:sz w:val="22"/>
                <w:szCs w:val="22"/>
              </w:rPr>
              <w:t>delivery systems was high</w:t>
            </w:r>
            <w:r w:rsidR="00785111">
              <w:rPr>
                <w:sz w:val="22"/>
                <w:szCs w:val="22"/>
              </w:rPr>
              <w:t>ly</w:t>
            </w:r>
            <w:r w:rsidR="00134D04" w:rsidRPr="001E1421">
              <w:rPr>
                <w:sz w:val="22"/>
                <w:szCs w:val="22"/>
              </w:rPr>
              <w:t xml:space="preserve"> variable.</w:t>
            </w:r>
          </w:p>
          <w:p w14:paraId="378F4ED3" w14:textId="77777777" w:rsidR="00AC28C7" w:rsidRPr="001E1421" w:rsidRDefault="00AC28C7" w:rsidP="001E142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FB3B925" w14:textId="22A21EC4" w:rsidR="00973374" w:rsidRPr="001E1421" w:rsidRDefault="00973374" w:rsidP="001E14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421">
              <w:rPr>
                <w:rFonts w:ascii="Arial" w:hAnsi="Arial" w:cs="Arial"/>
                <w:b/>
                <w:sz w:val="22"/>
                <w:szCs w:val="22"/>
              </w:rPr>
              <w:t>Conclusion: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277">
              <w:rPr>
                <w:rFonts w:ascii="Arial" w:hAnsi="Arial" w:cs="Arial"/>
                <w:sz w:val="22"/>
                <w:szCs w:val="22"/>
              </w:rPr>
              <w:t>S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ubstantial variation </w:t>
            </w:r>
            <w:r w:rsidR="00074277">
              <w:rPr>
                <w:rFonts w:ascii="Arial" w:hAnsi="Arial" w:cs="Arial"/>
                <w:sz w:val="22"/>
                <w:szCs w:val="22"/>
              </w:rPr>
              <w:t xml:space="preserve">exists 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in Australian </w:t>
            </w:r>
            <w:r w:rsidR="00533151">
              <w:rPr>
                <w:rFonts w:ascii="Arial" w:hAnsi="Arial" w:cs="Arial"/>
                <w:sz w:val="22"/>
                <w:szCs w:val="22"/>
              </w:rPr>
              <w:t>hospitals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NIV </w:t>
            </w:r>
            <w:r w:rsidR="002D7E36" w:rsidRPr="001E1421">
              <w:rPr>
                <w:rFonts w:ascii="Arial" w:hAnsi="Arial" w:cs="Arial"/>
                <w:sz w:val="22"/>
                <w:szCs w:val="22"/>
              </w:rPr>
              <w:t xml:space="preserve">implementation </w:t>
            </w:r>
            <w:r w:rsidRPr="001E1421">
              <w:rPr>
                <w:rFonts w:ascii="Arial" w:hAnsi="Arial" w:cs="Arial"/>
                <w:sz w:val="22"/>
                <w:szCs w:val="22"/>
              </w:rPr>
              <w:t>guidance and process</w:t>
            </w:r>
            <w:r w:rsidR="002D7E36" w:rsidRPr="001E1421">
              <w:rPr>
                <w:rFonts w:ascii="Arial" w:hAnsi="Arial" w:cs="Arial"/>
                <w:sz w:val="22"/>
                <w:szCs w:val="22"/>
              </w:rPr>
              <w:t>es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of care</w:t>
            </w:r>
            <w:r w:rsidR="002D7E36" w:rsidRPr="001E1421">
              <w:rPr>
                <w:rFonts w:ascii="Arial" w:hAnsi="Arial" w:cs="Arial"/>
                <w:sz w:val="22"/>
                <w:szCs w:val="22"/>
              </w:rPr>
              <w:t>, with core definitions and recommendations for safe NIV use lacking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810BF" w:rsidRPr="001E1421">
              <w:rPr>
                <w:rFonts w:ascii="Arial" w:hAnsi="Arial" w:cs="Arial"/>
                <w:sz w:val="22"/>
                <w:szCs w:val="22"/>
              </w:rPr>
              <w:t>Development and i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mplementation of standardised core recommendations may </w:t>
            </w:r>
            <w:r w:rsidR="00530DF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clinical decision </w:t>
            </w:r>
            <w:r w:rsidR="00EC0443" w:rsidRPr="001E1421">
              <w:rPr>
                <w:rFonts w:ascii="Arial" w:hAnsi="Arial" w:cs="Arial"/>
                <w:sz w:val="22"/>
                <w:szCs w:val="22"/>
              </w:rPr>
              <w:t>making, reduce</w:t>
            </w:r>
            <w:r w:rsidR="002D7E36" w:rsidRPr="001E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1421">
              <w:rPr>
                <w:rFonts w:ascii="Arial" w:hAnsi="Arial" w:cs="Arial"/>
                <w:sz w:val="22"/>
                <w:szCs w:val="22"/>
              </w:rPr>
              <w:t>variation</w:t>
            </w:r>
            <w:r w:rsidR="002D7E36" w:rsidRPr="001E1421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care and improve patient safety and outcomes.</w:t>
            </w:r>
          </w:p>
          <w:p w14:paraId="3BCCAAF2" w14:textId="77777777" w:rsidR="00523B94" w:rsidRPr="001E1421" w:rsidRDefault="00523B94" w:rsidP="00523B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4719D" w14:textId="0C54D620" w:rsidR="00523B94" w:rsidRPr="001E1421" w:rsidRDefault="00523B94" w:rsidP="00523B94">
            <w:pPr>
              <w:rPr>
                <w:rFonts w:ascii="Arial" w:hAnsi="Arial" w:cs="Arial"/>
                <w:sz w:val="22"/>
                <w:szCs w:val="22"/>
              </w:rPr>
            </w:pPr>
            <w:r w:rsidRPr="001E1421">
              <w:rPr>
                <w:rFonts w:ascii="Arial" w:hAnsi="Arial" w:cs="Arial"/>
                <w:b/>
                <w:sz w:val="22"/>
                <w:szCs w:val="22"/>
              </w:rPr>
              <w:t>Key words: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05E08" w:rsidRPr="001E1421">
              <w:rPr>
                <w:rFonts w:ascii="Arial" w:hAnsi="Arial" w:cs="Arial"/>
                <w:sz w:val="22"/>
                <w:szCs w:val="22"/>
              </w:rPr>
              <w:t>non-invasive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 ventilation, guidance, adults, acute care, hospital</w:t>
            </w:r>
          </w:p>
          <w:p w14:paraId="2DA73503" w14:textId="77777777" w:rsidR="000A200C" w:rsidRPr="001E1421" w:rsidRDefault="000A200C" w:rsidP="00523B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C7FF1" w14:textId="3CC5073D" w:rsidR="00523B94" w:rsidRPr="001E1421" w:rsidRDefault="00523B94" w:rsidP="00523B94">
            <w:pPr>
              <w:rPr>
                <w:rFonts w:ascii="Arial" w:hAnsi="Arial" w:cs="Arial"/>
                <w:sz w:val="22"/>
                <w:szCs w:val="22"/>
              </w:rPr>
            </w:pPr>
            <w:r w:rsidRPr="001E1421">
              <w:rPr>
                <w:rFonts w:ascii="Arial" w:hAnsi="Arial" w:cs="Arial"/>
                <w:b/>
                <w:sz w:val="22"/>
                <w:szCs w:val="22"/>
              </w:rPr>
              <w:t xml:space="preserve">Grant support: </w:t>
            </w:r>
            <w:r w:rsidRPr="001E1421">
              <w:rPr>
                <w:rFonts w:ascii="Arial" w:hAnsi="Arial" w:cs="Arial"/>
                <w:sz w:val="22"/>
                <w:szCs w:val="22"/>
              </w:rPr>
              <w:t xml:space="preserve">Australian Government research training scholarship </w:t>
            </w:r>
          </w:p>
          <w:p w14:paraId="7EE42E9E" w14:textId="77777777" w:rsidR="0094189E" w:rsidRPr="001E1421" w:rsidRDefault="0094189E" w:rsidP="000A200C">
            <w:pPr>
              <w:pStyle w:val="Default"/>
              <w:rPr>
                <w:b/>
                <w:sz w:val="22"/>
                <w:szCs w:val="22"/>
              </w:rPr>
            </w:pPr>
          </w:p>
          <w:p w14:paraId="5F58D34F" w14:textId="3ED50C33" w:rsidR="001564A4" w:rsidRPr="001E1421" w:rsidRDefault="00523B94" w:rsidP="00C14085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E1421">
              <w:rPr>
                <w:b/>
                <w:sz w:val="22"/>
                <w:szCs w:val="22"/>
              </w:rPr>
              <w:t>Conflict of interest:</w:t>
            </w:r>
            <w:r w:rsidRPr="001E1421">
              <w:rPr>
                <w:sz w:val="22"/>
                <w:szCs w:val="22"/>
              </w:rPr>
              <w:t xml:space="preserve"> Nil</w:t>
            </w:r>
            <w:bookmarkStart w:id="0" w:name="_GoBack"/>
            <w:bookmarkEnd w:id="0"/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  <w:r w:rsidR="001564A4" w:rsidRPr="001E1421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1FA0EFF" w14:textId="77777777" w:rsidR="0056149C" w:rsidRDefault="0056149C" w:rsidP="001564A4"/>
    <w:sectPr w:rsidR="0056149C" w:rsidSect="00132FA1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309A"/>
    <w:rsid w:val="00005E08"/>
    <w:rsid w:val="00074277"/>
    <w:rsid w:val="000A200C"/>
    <w:rsid w:val="0011686B"/>
    <w:rsid w:val="00132FA1"/>
    <w:rsid w:val="00134D04"/>
    <w:rsid w:val="00142467"/>
    <w:rsid w:val="001564A4"/>
    <w:rsid w:val="00165AAF"/>
    <w:rsid w:val="001A0D37"/>
    <w:rsid w:val="001D19A3"/>
    <w:rsid w:val="001E1421"/>
    <w:rsid w:val="00233E91"/>
    <w:rsid w:val="00235588"/>
    <w:rsid w:val="002650A6"/>
    <w:rsid w:val="00287E9B"/>
    <w:rsid w:val="002D78C2"/>
    <w:rsid w:val="002D7E36"/>
    <w:rsid w:val="003021E5"/>
    <w:rsid w:val="00325245"/>
    <w:rsid w:val="0038298F"/>
    <w:rsid w:val="003A3330"/>
    <w:rsid w:val="00400931"/>
    <w:rsid w:val="00455FEB"/>
    <w:rsid w:val="004B7EF4"/>
    <w:rsid w:val="004D61E1"/>
    <w:rsid w:val="004D62DE"/>
    <w:rsid w:val="004E6B72"/>
    <w:rsid w:val="0051574E"/>
    <w:rsid w:val="00523B94"/>
    <w:rsid w:val="00530DFC"/>
    <w:rsid w:val="00533151"/>
    <w:rsid w:val="00543296"/>
    <w:rsid w:val="0056149C"/>
    <w:rsid w:val="005742B2"/>
    <w:rsid w:val="005904BE"/>
    <w:rsid w:val="005C0303"/>
    <w:rsid w:val="005C08AE"/>
    <w:rsid w:val="00600B4E"/>
    <w:rsid w:val="00630551"/>
    <w:rsid w:val="0065575B"/>
    <w:rsid w:val="006D7C2D"/>
    <w:rsid w:val="006F6F7F"/>
    <w:rsid w:val="00703A23"/>
    <w:rsid w:val="007121F5"/>
    <w:rsid w:val="00780CA0"/>
    <w:rsid w:val="00785111"/>
    <w:rsid w:val="007C1A78"/>
    <w:rsid w:val="007D002E"/>
    <w:rsid w:val="007F5B25"/>
    <w:rsid w:val="00812185"/>
    <w:rsid w:val="0082319E"/>
    <w:rsid w:val="0086769A"/>
    <w:rsid w:val="008803FA"/>
    <w:rsid w:val="00913EEE"/>
    <w:rsid w:val="00931843"/>
    <w:rsid w:val="0094189E"/>
    <w:rsid w:val="00942675"/>
    <w:rsid w:val="00973374"/>
    <w:rsid w:val="009966C9"/>
    <w:rsid w:val="009C65B8"/>
    <w:rsid w:val="00A119F5"/>
    <w:rsid w:val="00A83516"/>
    <w:rsid w:val="00AC28C7"/>
    <w:rsid w:val="00AC3213"/>
    <w:rsid w:val="00B02930"/>
    <w:rsid w:val="00B12E32"/>
    <w:rsid w:val="00B27EAA"/>
    <w:rsid w:val="00B35BDC"/>
    <w:rsid w:val="00BB1DDC"/>
    <w:rsid w:val="00C14085"/>
    <w:rsid w:val="00C5707E"/>
    <w:rsid w:val="00C810BF"/>
    <w:rsid w:val="00CC574D"/>
    <w:rsid w:val="00D87C6E"/>
    <w:rsid w:val="00DD0E2A"/>
    <w:rsid w:val="00DE0743"/>
    <w:rsid w:val="00DE17A8"/>
    <w:rsid w:val="00E0700F"/>
    <w:rsid w:val="00E126FB"/>
    <w:rsid w:val="00E538AF"/>
    <w:rsid w:val="00E86A80"/>
    <w:rsid w:val="00EC0443"/>
    <w:rsid w:val="00EF4970"/>
    <w:rsid w:val="00F1283F"/>
    <w:rsid w:val="00F20329"/>
    <w:rsid w:val="00F22DBC"/>
    <w:rsid w:val="00F5668C"/>
    <w:rsid w:val="00F60CDE"/>
    <w:rsid w:val="00FB1B4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49C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5614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4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D04"/>
    <w:pPr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D04"/>
    <w:rPr>
      <w:rFonts w:asciiTheme="minorHAnsi" w:hAnsi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04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74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74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D8888C0D7244ABD6093B74F8FB4D" ma:contentTypeVersion="12" ma:contentTypeDescription="Create a new document." ma:contentTypeScope="" ma:versionID="edc4e974bc3162ac9ed28011c1166d4f">
  <xsd:schema xmlns:xsd="http://www.w3.org/2001/XMLSchema" xmlns:xs="http://www.w3.org/2001/XMLSchema" xmlns:p="http://schemas.microsoft.com/office/2006/metadata/properties" xmlns:ns3="193397e8-0f8f-4f8c-b2ab-8c1f91492a9d" targetNamespace="http://schemas.microsoft.com/office/2006/metadata/properties" ma:root="true" ma:fieldsID="7f9cdf6e4d18293b67be8e8a7ba1b464" ns3:_="">
    <xsd:import namespace="193397e8-0f8f-4f8c-b2ab-8c1f91492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97e8-0f8f-4f8c-b2ab-8c1f9149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397e8-0f8f-4f8c-b2ab-8c1f91492a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146D-1851-40E7-8EC7-5167F2F8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397e8-0f8f-4f8c-b2ab-8c1f91492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93397e8-0f8f-4f8c-b2ab-8c1f91492a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F03C89-171C-4EFF-8386-DE1013D2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Catherine Buchan</cp:lastModifiedBy>
  <cp:revision>7</cp:revision>
  <dcterms:created xsi:type="dcterms:W3CDTF">2023-10-18T04:45:00Z</dcterms:created>
  <dcterms:modified xsi:type="dcterms:W3CDTF">2023-10-18T23:28:00Z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0x010100949AD8888C0D7244ABD6093B74F8FB4D</vt:lpwstr>
  </property>
  <property fmtid="{D5CDD505-2E9C-101B-9397-08002B2CF9AE}" pid="3" name="MediaServiceImageTags">
    <vt:lpwstr/>
  </property>
</Properties>
</file>