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74ACD" w14:paraId="5A4DE250" w14:textId="77777777">
        <w:tc>
          <w:tcPr>
            <w:tcW w:w="8640" w:type="dxa"/>
          </w:tcPr>
          <w:p w14:paraId="2DEB8FD9" w14:textId="77777777" w:rsidR="002B7FC8" w:rsidRDefault="003B3025" w:rsidP="00E36AD7">
            <w:pPr>
              <w:jc w:val="both"/>
              <w:rPr>
                <w:rFonts w:ascii="Arial" w:hAnsi="Arial" w:cs="Arial"/>
                <w:b/>
                <w:sz w:val="22"/>
                <w:szCs w:val="22"/>
                <w:lang w:val="en-US"/>
              </w:rPr>
            </w:pPr>
            <w:proofErr w:type="spellStart"/>
            <w:r w:rsidRPr="00774ACD">
              <w:rPr>
                <w:rFonts w:ascii="Arial" w:hAnsi="Arial" w:cs="Arial"/>
                <w:b/>
                <w:sz w:val="22"/>
                <w:szCs w:val="22"/>
                <w:lang w:val="en-US"/>
              </w:rPr>
              <w:t>Liveable</w:t>
            </w:r>
            <w:proofErr w:type="spellEnd"/>
            <w:r w:rsidRPr="00774ACD">
              <w:rPr>
                <w:rFonts w:ascii="Arial" w:hAnsi="Arial" w:cs="Arial"/>
                <w:b/>
                <w:sz w:val="22"/>
                <w:szCs w:val="22"/>
                <w:lang w:val="en-US"/>
              </w:rPr>
              <w:t xml:space="preserve"> for whom? Prospects of urban </w:t>
            </w:r>
            <w:proofErr w:type="spellStart"/>
            <w:r w:rsidRPr="00774ACD">
              <w:rPr>
                <w:rFonts w:ascii="Arial" w:hAnsi="Arial" w:cs="Arial"/>
                <w:b/>
                <w:sz w:val="22"/>
                <w:szCs w:val="22"/>
                <w:lang w:val="en-US"/>
              </w:rPr>
              <w:t>liveability</w:t>
            </w:r>
            <w:proofErr w:type="spellEnd"/>
            <w:r w:rsidRPr="00774ACD">
              <w:rPr>
                <w:rFonts w:ascii="Arial" w:hAnsi="Arial" w:cs="Arial"/>
                <w:b/>
                <w:sz w:val="22"/>
                <w:szCs w:val="22"/>
                <w:lang w:val="en-US"/>
              </w:rPr>
              <w:t xml:space="preserve"> to address health inequities</w:t>
            </w:r>
          </w:p>
          <w:p w14:paraId="5A4DE24F" w14:textId="368881E2" w:rsidR="00774ACD" w:rsidRPr="00774ACD" w:rsidRDefault="00774ACD" w:rsidP="00E36AD7">
            <w:pPr>
              <w:jc w:val="both"/>
              <w:rPr>
                <w:rFonts w:ascii="Arial" w:hAnsi="Arial" w:cs="Arial"/>
                <w:sz w:val="22"/>
                <w:szCs w:val="22"/>
              </w:rPr>
            </w:pPr>
            <w:bookmarkStart w:id="0" w:name="_GoBack"/>
            <w:bookmarkEnd w:id="0"/>
          </w:p>
        </w:tc>
      </w:tr>
      <w:tr w:rsidR="002B7FC8" w:rsidRPr="00774ACD" w14:paraId="5A4DE264" w14:textId="77777777" w:rsidTr="00D71EFE">
        <w:trPr>
          <w:trHeight w:val="7663"/>
        </w:trPr>
        <w:tc>
          <w:tcPr>
            <w:tcW w:w="8640" w:type="dxa"/>
          </w:tcPr>
          <w:p w14:paraId="645A43B7" w14:textId="77777777" w:rsidR="00A43DF7" w:rsidRPr="00774ACD" w:rsidRDefault="00A43DF7" w:rsidP="00E36AD7">
            <w:pPr>
              <w:jc w:val="both"/>
              <w:rPr>
                <w:rFonts w:ascii="Arial" w:hAnsi="Arial" w:cs="Arial"/>
                <w:b/>
                <w:sz w:val="22"/>
                <w:szCs w:val="22"/>
              </w:rPr>
            </w:pPr>
          </w:p>
          <w:p w14:paraId="5A4DE253" w14:textId="5DA48E3A" w:rsidR="00DA7A71" w:rsidRPr="00774ACD" w:rsidRDefault="004B7D91" w:rsidP="00E36AD7">
            <w:pPr>
              <w:jc w:val="both"/>
              <w:rPr>
                <w:rFonts w:ascii="Arial" w:hAnsi="Arial" w:cs="Arial"/>
                <w:b/>
                <w:sz w:val="22"/>
                <w:szCs w:val="22"/>
              </w:rPr>
            </w:pPr>
            <w:r w:rsidRPr="00774ACD">
              <w:rPr>
                <w:rFonts w:ascii="Arial" w:hAnsi="Arial" w:cs="Arial"/>
                <w:b/>
                <w:sz w:val="22"/>
                <w:szCs w:val="22"/>
              </w:rPr>
              <w:t>Background/Objectives</w:t>
            </w:r>
          </w:p>
          <w:p w14:paraId="5A4DE255" w14:textId="3721E017" w:rsidR="00DA7A71" w:rsidRPr="00774ACD" w:rsidRDefault="003B3025" w:rsidP="00E36AD7">
            <w:pPr>
              <w:jc w:val="both"/>
              <w:rPr>
                <w:rFonts w:ascii="Arial" w:hAnsi="Arial" w:cs="Arial"/>
                <w:sz w:val="22"/>
                <w:szCs w:val="22"/>
              </w:rPr>
            </w:pPr>
            <w:r w:rsidRPr="00774ACD">
              <w:rPr>
                <w:rFonts w:ascii="Arial" w:hAnsi="Arial" w:cs="Arial"/>
                <w:color w:val="000000" w:themeColor="text1"/>
                <w:sz w:val="22"/>
                <w:szCs w:val="22"/>
                <w:lang w:val="en-AU"/>
              </w:rPr>
              <w:t xml:space="preserve">The aspiration of liveable cities, underpinned by the New Urban Agenda, is gaining popularity as a mechanism to enhance population health and wellbeing; however, less attention has been given to understanding how urban liveability may provide an opportunity for redress health inequities. Using an environmental justice lens, this paper investigates whether urban liveability poses </w:t>
            </w:r>
            <w:r w:rsidRPr="00774ACD">
              <w:rPr>
                <w:rFonts w:ascii="Arial" w:hAnsi="Arial" w:cs="Arial"/>
                <w:color w:val="000000" w:themeColor="text1"/>
                <w:sz w:val="22"/>
                <w:szCs w:val="22"/>
                <w:shd w:val="clear" w:color="auto" w:fill="FFFFFF"/>
                <w:lang w:val="en-AU"/>
              </w:rPr>
              <w:t xml:space="preserve">an opportunity or threat to reducing health inequities and outlines </w:t>
            </w:r>
            <w:r w:rsidRPr="00774ACD">
              <w:rPr>
                <w:rFonts w:ascii="Arial" w:hAnsi="Arial" w:cs="Arial"/>
                <w:color w:val="000000" w:themeColor="text1"/>
                <w:sz w:val="22"/>
                <w:szCs w:val="22"/>
                <w:lang w:val="en-AU"/>
              </w:rPr>
              <w:t>a future research agenda</w:t>
            </w:r>
            <w:r w:rsidRPr="00774ACD">
              <w:rPr>
                <w:rFonts w:ascii="Arial" w:hAnsi="Arial" w:cs="Arial"/>
                <w:color w:val="000000" w:themeColor="text1"/>
                <w:sz w:val="22"/>
                <w:szCs w:val="22"/>
                <w:shd w:val="clear" w:color="auto" w:fill="FFFFFF"/>
                <w:lang w:val="en-AU"/>
              </w:rPr>
              <w:t>.</w:t>
            </w:r>
          </w:p>
          <w:p w14:paraId="5A4DE257" w14:textId="77777777" w:rsidR="00DA7A71" w:rsidRPr="00774ACD" w:rsidRDefault="00DA7A71" w:rsidP="00E36AD7">
            <w:pPr>
              <w:jc w:val="both"/>
              <w:rPr>
                <w:rFonts w:ascii="Arial" w:hAnsi="Arial" w:cs="Arial"/>
                <w:sz w:val="22"/>
                <w:szCs w:val="22"/>
              </w:rPr>
            </w:pPr>
          </w:p>
          <w:p w14:paraId="5A4DE258" w14:textId="5C68803A" w:rsidR="00DA7A71" w:rsidRPr="00774ACD" w:rsidRDefault="004B7D91" w:rsidP="00E36AD7">
            <w:pPr>
              <w:jc w:val="both"/>
              <w:rPr>
                <w:rFonts w:ascii="Arial" w:hAnsi="Arial" w:cs="Arial"/>
                <w:b/>
                <w:sz w:val="22"/>
                <w:szCs w:val="22"/>
              </w:rPr>
            </w:pPr>
            <w:r w:rsidRPr="00774ACD">
              <w:rPr>
                <w:rFonts w:ascii="Arial" w:hAnsi="Arial" w:cs="Arial"/>
                <w:b/>
                <w:sz w:val="22"/>
                <w:szCs w:val="22"/>
              </w:rPr>
              <w:t>Methods</w:t>
            </w:r>
          </w:p>
          <w:p w14:paraId="5A4DE25A" w14:textId="730E290A" w:rsidR="00DA7A71" w:rsidRPr="00774ACD" w:rsidRDefault="003B3025" w:rsidP="00E36AD7">
            <w:pPr>
              <w:jc w:val="both"/>
              <w:rPr>
                <w:rFonts w:ascii="Arial" w:hAnsi="Arial" w:cs="Arial"/>
                <w:b/>
                <w:sz w:val="22"/>
                <w:szCs w:val="22"/>
              </w:rPr>
            </w:pPr>
            <w:r w:rsidRPr="00774ACD">
              <w:rPr>
                <w:rFonts w:ascii="Arial" w:hAnsi="Arial" w:cs="Arial"/>
                <w:color w:val="000000" w:themeColor="text1"/>
                <w:sz w:val="22"/>
                <w:szCs w:val="22"/>
                <w:shd w:val="clear" w:color="auto" w:fill="FFFFFF"/>
                <w:lang w:val="en-AU"/>
              </w:rPr>
              <w:t>Selected urban liveability attributes, being: education; employment; food, alcohol, and tobacco; green space; housing; transport; and walkability, were investigated to understand how they can serve to widen or narrow inequities.</w:t>
            </w:r>
          </w:p>
          <w:p w14:paraId="5A4DE25C" w14:textId="77777777" w:rsidR="00DA7A71" w:rsidRPr="00774ACD" w:rsidRDefault="00DA7A71" w:rsidP="00E36AD7">
            <w:pPr>
              <w:jc w:val="both"/>
              <w:rPr>
                <w:rFonts w:ascii="Arial" w:hAnsi="Arial" w:cs="Arial"/>
                <w:b/>
                <w:sz w:val="22"/>
                <w:szCs w:val="22"/>
              </w:rPr>
            </w:pPr>
          </w:p>
          <w:p w14:paraId="5A4DE25D" w14:textId="6252EBE7" w:rsidR="00DA7A71" w:rsidRPr="00774ACD" w:rsidRDefault="004B7D91" w:rsidP="00E36AD7">
            <w:pPr>
              <w:jc w:val="both"/>
              <w:rPr>
                <w:rFonts w:ascii="Arial" w:hAnsi="Arial" w:cs="Arial"/>
                <w:b/>
                <w:sz w:val="22"/>
                <w:szCs w:val="22"/>
              </w:rPr>
            </w:pPr>
            <w:r w:rsidRPr="00774ACD">
              <w:rPr>
                <w:rFonts w:ascii="Arial" w:hAnsi="Arial" w:cs="Arial"/>
                <w:b/>
                <w:sz w:val="22"/>
                <w:szCs w:val="22"/>
              </w:rPr>
              <w:t>Results</w:t>
            </w:r>
          </w:p>
          <w:p w14:paraId="2230F09C" w14:textId="4DB63E83" w:rsidR="004B7D91" w:rsidRPr="00774ACD" w:rsidRDefault="003B3025" w:rsidP="00E36AD7">
            <w:pPr>
              <w:jc w:val="both"/>
              <w:rPr>
                <w:rFonts w:ascii="Arial" w:hAnsi="Arial" w:cs="Arial"/>
                <w:b/>
                <w:sz w:val="22"/>
                <w:szCs w:val="22"/>
              </w:rPr>
            </w:pPr>
            <w:r w:rsidRPr="00774ACD">
              <w:rPr>
                <w:rFonts w:ascii="Arial" w:hAnsi="Arial" w:cs="Arial"/>
                <w:sz w:val="22"/>
                <w:szCs w:val="22"/>
                <w:lang w:val="en-AU"/>
              </w:rPr>
              <w:t xml:space="preserve">Some domains showed consistent evidence, others suggested context-specific associations that made it difficult to draw general conclusions, and some showed a reverse patterning with the social gradient, but with poorer outcomes. </w:t>
            </w:r>
          </w:p>
          <w:p w14:paraId="089DEF63" w14:textId="2DF56954" w:rsidR="004B7D91" w:rsidRPr="00774ACD" w:rsidRDefault="004B7D91" w:rsidP="00E36AD7">
            <w:pPr>
              <w:jc w:val="both"/>
              <w:rPr>
                <w:rFonts w:ascii="Arial" w:hAnsi="Arial" w:cs="Arial"/>
                <w:b/>
                <w:sz w:val="22"/>
                <w:szCs w:val="22"/>
              </w:rPr>
            </w:pPr>
          </w:p>
          <w:p w14:paraId="0E4B9184" w14:textId="77777777" w:rsidR="003B3025" w:rsidRPr="00774ACD" w:rsidRDefault="004B7D91" w:rsidP="00E36AD7">
            <w:pPr>
              <w:jc w:val="both"/>
              <w:rPr>
                <w:rFonts w:ascii="Arial" w:hAnsi="Arial" w:cs="Arial"/>
                <w:color w:val="000000"/>
                <w:sz w:val="22"/>
                <w:szCs w:val="22"/>
              </w:rPr>
            </w:pPr>
            <w:r w:rsidRPr="00774ACD">
              <w:rPr>
                <w:rFonts w:ascii="Arial" w:hAnsi="Arial" w:cs="Arial"/>
                <w:b/>
                <w:sz w:val="22"/>
                <w:szCs w:val="22"/>
              </w:rPr>
              <w:t>Discussion</w:t>
            </w:r>
            <w:r w:rsidR="003B3025" w:rsidRPr="00774ACD">
              <w:rPr>
                <w:rFonts w:ascii="Arial" w:hAnsi="Arial" w:cs="Arial"/>
                <w:color w:val="000000"/>
                <w:sz w:val="22"/>
                <w:szCs w:val="22"/>
              </w:rPr>
              <w:t xml:space="preserve"> </w:t>
            </w:r>
          </w:p>
          <w:p w14:paraId="3AD6967B" w14:textId="041A3924" w:rsidR="004B7D91" w:rsidRPr="00774ACD" w:rsidRDefault="003B3025" w:rsidP="00E36AD7">
            <w:pPr>
              <w:jc w:val="both"/>
              <w:rPr>
                <w:rFonts w:ascii="Arial" w:hAnsi="Arial" w:cs="Arial"/>
                <w:b/>
                <w:sz w:val="22"/>
                <w:szCs w:val="22"/>
              </w:rPr>
            </w:pPr>
            <w:r w:rsidRPr="00774ACD">
              <w:rPr>
                <w:rFonts w:ascii="Arial" w:hAnsi="Arial" w:cs="Arial"/>
                <w:color w:val="000000"/>
                <w:sz w:val="22"/>
                <w:szCs w:val="22"/>
              </w:rPr>
              <w:t xml:space="preserve">This suggests urban liveability attributes have </w:t>
            </w:r>
            <w:proofErr w:type="spellStart"/>
            <w:r w:rsidRPr="00774ACD">
              <w:rPr>
                <w:rFonts w:ascii="Arial" w:hAnsi="Arial" w:cs="Arial"/>
                <w:color w:val="000000"/>
                <w:sz w:val="22"/>
                <w:szCs w:val="22"/>
              </w:rPr>
              <w:t>equigenic</w:t>
            </w:r>
            <w:proofErr w:type="spellEnd"/>
            <w:r w:rsidRPr="00774ACD">
              <w:rPr>
                <w:rFonts w:ascii="Arial" w:hAnsi="Arial" w:cs="Arial"/>
                <w:color w:val="000000"/>
                <w:sz w:val="22"/>
                <w:szCs w:val="22"/>
              </w:rPr>
              <w:t xml:space="preserve"> </w:t>
            </w:r>
            <w:proofErr w:type="gramStart"/>
            <w:r w:rsidRPr="00774ACD">
              <w:rPr>
                <w:rFonts w:ascii="Arial" w:hAnsi="Arial" w:cs="Arial"/>
                <w:color w:val="000000"/>
                <w:sz w:val="22"/>
                <w:szCs w:val="22"/>
              </w:rPr>
              <w:t>potential, but</w:t>
            </w:r>
            <w:proofErr w:type="gramEnd"/>
            <w:r w:rsidRPr="00774ACD">
              <w:rPr>
                <w:rFonts w:ascii="Arial" w:hAnsi="Arial" w:cs="Arial"/>
                <w:color w:val="000000"/>
                <w:sz w:val="22"/>
                <w:szCs w:val="22"/>
              </w:rPr>
              <w:t xml:space="preserve"> operate within a complex system. </w:t>
            </w:r>
            <w:r w:rsidRPr="00774ACD">
              <w:rPr>
                <w:rFonts w:ascii="Arial" w:hAnsi="Arial" w:cs="Arial"/>
                <w:color w:val="000000" w:themeColor="text1"/>
                <w:sz w:val="22"/>
                <w:szCs w:val="22"/>
                <w:lang w:val="en-AU"/>
              </w:rPr>
              <w:t xml:space="preserve">We conclude </w:t>
            </w:r>
            <w:r w:rsidRPr="00774ACD">
              <w:rPr>
                <w:rFonts w:ascii="Arial" w:hAnsi="Arial" w:cs="Arial"/>
                <w:sz w:val="22"/>
                <w:szCs w:val="22"/>
                <w:lang w:val="en-AU"/>
              </w:rPr>
              <w:t>more disadvantaged neighbourhoods and their residents likely have additional policy and design considerations to optimise outcomes, especially as changes to the contextual environment may impact the composition of the neighbourhood through displacement and/or pulling up effects. Future research needs to not only continue to explore downstream associations using longitudinal and natural experiments, but also gain a deeper understanding of the urban liveability system, including interactions, feedback loops, and non-linear and linear responses. There is a need to monitor neighbourhood population changes over time to understand liveability impacts to the most vulnerable. Other areas worthy of further investigation include applying a life course approach and investigating liveability within the context of other adversity and contextual settings.</w:t>
            </w:r>
          </w:p>
          <w:p w14:paraId="24B8CD62" w14:textId="60ABE0DF" w:rsidR="004B7D91" w:rsidRPr="00774ACD" w:rsidRDefault="004B7D91" w:rsidP="00E36AD7">
            <w:pPr>
              <w:jc w:val="both"/>
              <w:rPr>
                <w:rFonts w:ascii="Arial" w:hAnsi="Arial" w:cs="Arial"/>
                <w:b/>
                <w:sz w:val="22"/>
                <w:szCs w:val="22"/>
              </w:rPr>
            </w:pPr>
          </w:p>
          <w:p w14:paraId="3CDEB4A9" w14:textId="5B83C8DE" w:rsidR="004B7D91" w:rsidRPr="00774ACD" w:rsidRDefault="004B7D91" w:rsidP="00E36AD7">
            <w:pPr>
              <w:jc w:val="both"/>
              <w:rPr>
                <w:rFonts w:ascii="Arial" w:hAnsi="Arial" w:cs="Arial"/>
                <w:b/>
                <w:sz w:val="22"/>
                <w:szCs w:val="22"/>
              </w:rPr>
            </w:pPr>
            <w:r w:rsidRPr="00774ACD">
              <w:rPr>
                <w:rFonts w:ascii="Arial" w:hAnsi="Arial" w:cs="Arial"/>
                <w:b/>
                <w:sz w:val="22"/>
                <w:szCs w:val="22"/>
              </w:rPr>
              <w:t>Keywords</w:t>
            </w:r>
          </w:p>
          <w:p w14:paraId="0D02CFA3" w14:textId="77777777" w:rsidR="003B3025" w:rsidRPr="00774ACD" w:rsidRDefault="003B3025" w:rsidP="003B3025">
            <w:pPr>
              <w:widowControl w:val="0"/>
              <w:autoSpaceDE w:val="0"/>
              <w:autoSpaceDN w:val="0"/>
              <w:adjustRightInd w:val="0"/>
              <w:rPr>
                <w:rFonts w:ascii="Arial" w:hAnsi="Arial" w:cs="Arial"/>
                <w:sz w:val="22"/>
                <w:szCs w:val="22"/>
                <w:lang w:val="en-AU"/>
              </w:rPr>
            </w:pPr>
            <w:r w:rsidRPr="00774ACD">
              <w:rPr>
                <w:rFonts w:ascii="Arial" w:hAnsi="Arial" w:cs="Arial"/>
                <w:sz w:val="22"/>
                <w:szCs w:val="22"/>
                <w:lang w:val="en-AU"/>
              </w:rPr>
              <w:t>Built environment; inequality; New Urban Agenda; social determinants of health; social gradient; Sustainable Development Goals</w:t>
            </w:r>
          </w:p>
          <w:p w14:paraId="5A4DE263" w14:textId="3A181901" w:rsidR="00DA7A71" w:rsidRPr="00774ACD" w:rsidRDefault="00DA7A71" w:rsidP="00E36AD7">
            <w:pPr>
              <w:jc w:val="both"/>
              <w:rPr>
                <w:rFonts w:ascii="Arial" w:hAnsi="Arial" w:cs="Arial"/>
                <w:bCs/>
                <w:sz w:val="22"/>
                <w:szCs w:val="22"/>
              </w:rPr>
            </w:pPr>
          </w:p>
        </w:tc>
      </w:tr>
    </w:tbl>
    <w:p w14:paraId="5A4DE265" w14:textId="4C2C1C75" w:rsidR="00490208" w:rsidRPr="00774ACD" w:rsidRDefault="00490208" w:rsidP="004C45A1">
      <w:pPr>
        <w:rPr>
          <w:sz w:val="22"/>
          <w:szCs w:val="22"/>
        </w:rPr>
      </w:pPr>
    </w:p>
    <w:sectPr w:rsidR="00490208" w:rsidRPr="00774A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B3025"/>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74ACD"/>
    <w:rsid w:val="00787065"/>
    <w:rsid w:val="007A2A9C"/>
    <w:rsid w:val="007E61BA"/>
    <w:rsid w:val="0082392D"/>
    <w:rsid w:val="008874BF"/>
    <w:rsid w:val="008C05AC"/>
    <w:rsid w:val="008C05C1"/>
    <w:rsid w:val="00932377"/>
    <w:rsid w:val="009579B1"/>
    <w:rsid w:val="009B7881"/>
    <w:rsid w:val="00A112C8"/>
    <w:rsid w:val="00A1780F"/>
    <w:rsid w:val="00A43DF7"/>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53B6D"/>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http://purl.org/dc/terms/"/>
    <ds:schemaRef ds:uri="http://schemas.openxmlformats.org/package/2006/metadata/core-properties"/>
    <ds:schemaRef ds:uri="9c8a2b7b-0bee-4c48-b0a6-23db8982d3bc"/>
    <ds:schemaRef ds:uri="http://schemas.microsoft.com/office/2006/documentManagement/types"/>
    <ds:schemaRef ds:uri="6911e96c-4cc4-42d5-8e43-f93924cf6a0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2018-06-19T22:51:00Z</dcterms:created>
  <dcterms:modified xsi:type="dcterms:W3CDTF">2018-06-19T22:51:00Z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