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6"/>
      </w:tblGrid>
      <w:tr w:rsidR="001564A4" w:rsidRPr="0050053A" w14:paraId="5C38377B" w14:textId="77777777" w:rsidTr="004C546B">
        <w:trPr>
          <w:trHeight w:val="416"/>
          <w:jc w:val="center"/>
        </w:trPr>
        <w:tc>
          <w:tcPr>
            <w:tcW w:w="9166" w:type="dxa"/>
            <w:shd w:val="clear" w:color="auto" w:fill="auto"/>
          </w:tcPr>
          <w:p w14:paraId="5C44F357" w14:textId="696B5E99" w:rsidR="001564A4" w:rsidRPr="004C546B" w:rsidRDefault="004C546B" w:rsidP="004C546B">
            <w:pPr>
              <w:rPr>
                <w:rFonts w:ascii="Arial" w:hAnsi="Arial" w:cs="Arial"/>
                <w:b/>
                <w:bCs/>
                <w:sz w:val="22"/>
                <w:szCs w:val="22"/>
                <w:lang w:val="en-US" w:eastAsia="zh-CN"/>
              </w:rPr>
            </w:pPr>
            <w:r w:rsidRPr="004C546B">
              <w:rPr>
                <w:rFonts w:ascii="Arial" w:hAnsi="Arial" w:cs="Arial"/>
                <w:b/>
                <w:bCs/>
                <w:sz w:val="22"/>
                <w:szCs w:val="22"/>
                <w:lang w:val="en-US" w:eastAsia="zh-CN"/>
              </w:rPr>
              <w:t>Emphysema affects lung expansion and ventilation in COPD patients</w:t>
            </w:r>
          </w:p>
        </w:tc>
      </w:tr>
      <w:tr w:rsidR="001564A4" w:rsidRPr="0050053A" w14:paraId="0E2E035C" w14:textId="77777777" w:rsidTr="004C546B">
        <w:trPr>
          <w:trHeight w:val="692"/>
          <w:jc w:val="center"/>
        </w:trPr>
        <w:tc>
          <w:tcPr>
            <w:tcW w:w="9166" w:type="dxa"/>
            <w:shd w:val="clear" w:color="auto" w:fill="auto"/>
          </w:tcPr>
          <w:p w14:paraId="73B55295" w14:textId="60658AAB" w:rsidR="001564A4" w:rsidRPr="004D4856" w:rsidRDefault="004C546B" w:rsidP="004D4856">
            <w:pPr>
              <w:pStyle w:val="NormalWeb"/>
              <w:spacing w:before="0" w:beforeAutospacing="0" w:after="0" w:afterAutospacing="0"/>
              <w:jc w:val="both"/>
            </w:pPr>
            <w:r w:rsidRPr="004C546B">
              <w:rPr>
                <w:rFonts w:ascii="Arial" w:hAnsi="Arial" w:cs="Arial"/>
                <w:color w:val="000000"/>
                <w:sz w:val="22"/>
                <w:szCs w:val="22"/>
              </w:rPr>
              <w:t>G. Snell</w:t>
            </w:r>
            <w:r w:rsidRPr="004C546B">
              <w:rPr>
                <w:rFonts w:ascii="Arial" w:hAnsi="Arial" w:cs="Arial"/>
                <w:color w:val="000000"/>
                <w:sz w:val="22"/>
                <w:szCs w:val="22"/>
                <w:vertAlign w:val="superscript"/>
              </w:rPr>
              <w:t>1</w:t>
            </w:r>
            <w:r w:rsidRPr="004C546B">
              <w:rPr>
                <w:rFonts w:ascii="Arial" w:hAnsi="Arial" w:cs="Arial"/>
                <w:color w:val="000000"/>
                <w:sz w:val="22"/>
                <w:szCs w:val="22"/>
              </w:rPr>
              <w:t xml:space="preserve">, </w:t>
            </w:r>
            <w:proofErr w:type="gramStart"/>
            <w:r w:rsidRPr="004C546B">
              <w:rPr>
                <w:rFonts w:ascii="Arial" w:hAnsi="Arial" w:cs="Arial"/>
                <w:color w:val="000000"/>
                <w:sz w:val="22"/>
                <w:szCs w:val="22"/>
              </w:rPr>
              <w:t>B.Levvey</w:t>
            </w:r>
            <w:proofErr w:type="gramEnd"/>
            <w:r w:rsidRPr="004C546B">
              <w:rPr>
                <w:rFonts w:ascii="Arial" w:hAnsi="Arial" w:cs="Arial"/>
                <w:color w:val="000000"/>
                <w:sz w:val="22"/>
                <w:szCs w:val="22"/>
                <w:vertAlign w:val="superscript"/>
              </w:rPr>
              <w:t>1</w:t>
            </w:r>
            <w:r w:rsidRPr="004C546B">
              <w:rPr>
                <w:rFonts w:ascii="Arial" w:hAnsi="Arial" w:cs="Arial"/>
                <w:color w:val="000000"/>
                <w:sz w:val="22"/>
                <w:szCs w:val="22"/>
              </w:rPr>
              <w:t>, G.Westall</w:t>
            </w:r>
            <w:r w:rsidRPr="004C546B">
              <w:rPr>
                <w:rFonts w:ascii="Arial" w:hAnsi="Arial" w:cs="Arial"/>
                <w:color w:val="000000"/>
                <w:sz w:val="22"/>
                <w:szCs w:val="22"/>
                <w:vertAlign w:val="superscript"/>
              </w:rPr>
              <w:t>1</w:t>
            </w:r>
            <w:r w:rsidRPr="004C546B">
              <w:rPr>
                <w:rFonts w:ascii="Arial" w:hAnsi="Arial" w:cs="Arial"/>
                <w:color w:val="000000"/>
                <w:sz w:val="22"/>
                <w:szCs w:val="22"/>
              </w:rPr>
              <w:t>, D.Bushell</w:t>
            </w:r>
            <w:r w:rsidRPr="004C546B">
              <w:rPr>
                <w:rFonts w:ascii="Arial" w:hAnsi="Arial" w:cs="Arial"/>
                <w:color w:val="000000"/>
                <w:sz w:val="22"/>
                <w:szCs w:val="22"/>
                <w:vertAlign w:val="superscript"/>
              </w:rPr>
              <w:t>1</w:t>
            </w:r>
            <w:r w:rsidRPr="004C546B">
              <w:rPr>
                <w:rFonts w:ascii="Arial" w:hAnsi="Arial" w:cs="Arial"/>
                <w:color w:val="000000"/>
                <w:sz w:val="22"/>
                <w:szCs w:val="22"/>
              </w:rPr>
              <w:t>, A. Fouras</w:t>
            </w:r>
            <w:r w:rsidRPr="004C546B">
              <w:rPr>
                <w:rFonts w:ascii="Arial" w:hAnsi="Arial" w:cs="Arial"/>
                <w:color w:val="000000"/>
                <w:sz w:val="22"/>
                <w:szCs w:val="22"/>
                <w:vertAlign w:val="superscript"/>
              </w:rPr>
              <w:t>2</w:t>
            </w:r>
            <w:r w:rsidRPr="004C546B">
              <w:rPr>
                <w:rFonts w:ascii="Arial" w:hAnsi="Arial" w:cs="Arial"/>
                <w:color w:val="000000"/>
                <w:sz w:val="22"/>
                <w:szCs w:val="22"/>
              </w:rPr>
              <w:t>, J.P. Kirkness</w:t>
            </w:r>
            <w:r w:rsidRPr="004C546B">
              <w:rPr>
                <w:rFonts w:ascii="Arial" w:hAnsi="Arial" w:cs="Arial"/>
                <w:color w:val="000000"/>
                <w:sz w:val="22"/>
                <w:szCs w:val="22"/>
                <w:vertAlign w:val="superscript"/>
              </w:rPr>
              <w:t>2</w:t>
            </w:r>
            <w:r w:rsidRPr="004C546B">
              <w:rPr>
                <w:rFonts w:ascii="Arial" w:hAnsi="Arial" w:cs="Arial"/>
                <w:color w:val="000000"/>
                <w:sz w:val="22"/>
                <w:szCs w:val="22"/>
              </w:rPr>
              <w:t>, P. Pirakalathanan</w:t>
            </w:r>
            <w:r w:rsidRPr="004C546B">
              <w:rPr>
                <w:rFonts w:ascii="Arial" w:hAnsi="Arial" w:cs="Arial"/>
                <w:color w:val="000000"/>
                <w:sz w:val="22"/>
                <w:szCs w:val="22"/>
                <w:vertAlign w:val="superscript"/>
              </w:rPr>
              <w:t>2</w:t>
            </w:r>
            <w:r w:rsidRPr="004C546B">
              <w:rPr>
                <w:rFonts w:ascii="Arial" w:hAnsi="Arial" w:cs="Arial"/>
                <w:color w:val="000000"/>
                <w:sz w:val="22"/>
                <w:szCs w:val="22"/>
              </w:rPr>
              <w:t>, K. Nilsen</w:t>
            </w:r>
            <w:r w:rsidRPr="004C546B">
              <w:rPr>
                <w:rFonts w:ascii="Arial" w:hAnsi="Arial" w:cs="Arial"/>
                <w:color w:val="000000"/>
                <w:sz w:val="22"/>
                <w:szCs w:val="22"/>
                <w:vertAlign w:val="superscript"/>
              </w:rPr>
              <w:t>2</w:t>
            </w:r>
            <w:r w:rsidRPr="004C546B">
              <w:rPr>
                <w:rFonts w:ascii="Arial" w:hAnsi="Arial" w:cs="Arial"/>
                <w:color w:val="000000"/>
                <w:sz w:val="22"/>
                <w:szCs w:val="22"/>
              </w:rPr>
              <w:t>, N. Eikelis</w:t>
            </w:r>
            <w:r w:rsidRPr="004C546B">
              <w:rPr>
                <w:rFonts w:ascii="Arial" w:hAnsi="Arial" w:cs="Arial"/>
                <w:color w:val="000000"/>
                <w:sz w:val="22"/>
                <w:szCs w:val="22"/>
                <w:vertAlign w:val="superscript"/>
              </w:rPr>
              <w:t>2</w:t>
            </w:r>
          </w:p>
        </w:tc>
      </w:tr>
      <w:tr w:rsidR="001564A4" w:rsidRPr="0050053A" w14:paraId="385A19D9" w14:textId="77777777" w:rsidTr="004C546B">
        <w:trPr>
          <w:trHeight w:val="701"/>
          <w:jc w:val="center"/>
        </w:trPr>
        <w:tc>
          <w:tcPr>
            <w:tcW w:w="9166" w:type="dxa"/>
            <w:shd w:val="clear" w:color="auto" w:fill="auto"/>
          </w:tcPr>
          <w:p w14:paraId="0B6AAB94" w14:textId="77777777" w:rsidR="004C546B" w:rsidRPr="004C546B" w:rsidRDefault="004C546B" w:rsidP="004C546B">
            <w:pPr>
              <w:rPr>
                <w:rFonts w:ascii="Arial" w:hAnsi="Arial" w:cs="Arial"/>
                <w:i/>
                <w:sz w:val="22"/>
                <w:szCs w:val="22"/>
                <w:lang w:val="en-US" w:eastAsia="en-GB"/>
              </w:rPr>
            </w:pPr>
            <w:r w:rsidRPr="004C546B">
              <w:rPr>
                <w:rFonts w:ascii="Arial" w:hAnsi="Arial" w:cs="Arial"/>
                <w:i/>
                <w:sz w:val="22"/>
                <w:szCs w:val="22"/>
                <w:vertAlign w:val="superscript"/>
                <w:lang w:val="en-US" w:eastAsia="en-GB"/>
              </w:rPr>
              <w:t>1</w:t>
            </w:r>
            <w:r w:rsidRPr="004C546B">
              <w:rPr>
                <w:rFonts w:ascii="Arial" w:hAnsi="Arial" w:cs="Arial"/>
                <w:i/>
                <w:sz w:val="22"/>
                <w:szCs w:val="22"/>
                <w:lang w:val="en-US" w:eastAsia="en-GB"/>
              </w:rPr>
              <w:t>Alfred Health, Melbourne, Victoria</w:t>
            </w:r>
          </w:p>
          <w:p w14:paraId="45ED36BF" w14:textId="1645050A" w:rsidR="001564A4" w:rsidRPr="004C546B" w:rsidRDefault="004C546B" w:rsidP="004C546B">
            <w:pPr>
              <w:rPr>
                <w:rFonts w:ascii="Arial" w:hAnsi="Arial" w:cs="Arial"/>
                <w:i/>
                <w:sz w:val="22"/>
                <w:szCs w:val="22"/>
                <w:lang w:val="en-US" w:eastAsia="en-GB"/>
              </w:rPr>
            </w:pPr>
            <w:r w:rsidRPr="004C546B">
              <w:rPr>
                <w:rFonts w:ascii="Arial" w:hAnsi="Arial" w:cs="Arial"/>
                <w:i/>
                <w:sz w:val="22"/>
                <w:szCs w:val="22"/>
                <w:vertAlign w:val="superscript"/>
                <w:lang w:val="en-US" w:eastAsia="en-GB"/>
              </w:rPr>
              <w:t>2</w:t>
            </w:r>
            <w:r w:rsidRPr="004C546B">
              <w:rPr>
                <w:rFonts w:ascii="Arial" w:hAnsi="Arial" w:cs="Arial"/>
                <w:i/>
                <w:sz w:val="22"/>
                <w:szCs w:val="22"/>
                <w:lang w:val="en-US" w:eastAsia="en-GB"/>
              </w:rPr>
              <w:t>4DMedical Limited, Carlton, Victoria</w:t>
            </w:r>
          </w:p>
        </w:tc>
      </w:tr>
      <w:tr w:rsidR="001564A4" w:rsidRPr="0050053A" w14:paraId="6DAF615A" w14:textId="77777777" w:rsidTr="004C546B">
        <w:trPr>
          <w:trHeight w:hRule="exact" w:val="11418"/>
          <w:jc w:val="center"/>
        </w:trPr>
        <w:tc>
          <w:tcPr>
            <w:tcW w:w="9166" w:type="dxa"/>
            <w:shd w:val="clear" w:color="auto" w:fill="auto"/>
          </w:tcPr>
          <w:p w14:paraId="34F7A303" w14:textId="77777777" w:rsidR="007F2DB8" w:rsidRDefault="007758D4" w:rsidP="000A28E2">
            <w:pPr>
              <w:pStyle w:val="Pa12"/>
              <w:rPr>
                <w:color w:val="000000"/>
                <w:sz w:val="22"/>
                <w:szCs w:val="22"/>
              </w:rPr>
            </w:pPr>
            <w:r>
              <w:rPr>
                <w:b/>
                <w:bCs/>
                <w:color w:val="000000"/>
                <w:sz w:val="22"/>
                <w:szCs w:val="22"/>
              </w:rPr>
              <w:t>Introduction:</w:t>
            </w:r>
            <w:r>
              <w:rPr>
                <w:color w:val="000000"/>
                <w:sz w:val="22"/>
                <w:szCs w:val="22"/>
              </w:rPr>
              <w:t xml:space="preserve"> </w:t>
            </w:r>
            <w:r w:rsidR="004C546B" w:rsidRPr="004C546B">
              <w:rPr>
                <w:color w:val="000000"/>
                <w:sz w:val="22"/>
                <w:szCs w:val="22"/>
              </w:rPr>
              <w:t xml:space="preserve">Emphysema results in hyperinflation of the lungs due to increased air trapping, reducing ventilation efficiency and leading to </w:t>
            </w:r>
            <w:proofErr w:type="spellStart"/>
            <w:r w:rsidR="004C546B" w:rsidRPr="004C546B">
              <w:rPr>
                <w:color w:val="000000"/>
                <w:sz w:val="22"/>
                <w:szCs w:val="22"/>
              </w:rPr>
              <w:t>dyspnea</w:t>
            </w:r>
            <w:proofErr w:type="spellEnd"/>
            <w:r w:rsidR="004C546B" w:rsidRPr="004C546B">
              <w:rPr>
                <w:color w:val="000000"/>
                <w:sz w:val="22"/>
                <w:szCs w:val="22"/>
              </w:rPr>
              <w:t>. Current diagnostic techniques, such as computed tomography (CT) and pulmonary function tests (PFTs), provide limited functional information at a regional lung level. This study aims to quantify the effects of emphysema on lung expansion and ventilation in patients with Chronic Obstructive Pulmonary Disease (COPD) using X-ray Velocimetry (XV). The proposed approach is hypothesised to provide a more comprehensive understanding of pulmonary function at a regional level.</w:t>
            </w:r>
            <w:r w:rsidR="004C546B">
              <w:rPr>
                <w:color w:val="000000"/>
                <w:sz w:val="22"/>
                <w:szCs w:val="22"/>
              </w:rPr>
              <w:t xml:space="preserve"> </w:t>
            </w:r>
          </w:p>
          <w:p w14:paraId="6B3096E1" w14:textId="77777777" w:rsidR="007F2DB8" w:rsidRDefault="007758D4" w:rsidP="000A28E2">
            <w:pPr>
              <w:pStyle w:val="Pa12"/>
              <w:rPr>
                <w:color w:val="000000"/>
                <w:sz w:val="22"/>
                <w:szCs w:val="22"/>
              </w:rPr>
            </w:pPr>
            <w:r>
              <w:rPr>
                <w:b/>
                <w:bCs/>
                <w:color w:val="000000"/>
                <w:sz w:val="22"/>
                <w:szCs w:val="22"/>
              </w:rPr>
              <w:t>Methods:</w:t>
            </w:r>
            <w:r>
              <w:rPr>
                <w:color w:val="000000"/>
                <w:sz w:val="22"/>
                <w:szCs w:val="22"/>
              </w:rPr>
              <w:t xml:space="preserve"> </w:t>
            </w:r>
            <w:r w:rsidR="004C546B" w:rsidRPr="004C546B">
              <w:rPr>
                <w:color w:val="000000"/>
                <w:sz w:val="22"/>
                <w:szCs w:val="22"/>
              </w:rPr>
              <w:t>A cross-sectional examination was performed on patients with advanced COPD who were being assessed for lung transplantation. To evaluate regional ventilation measures, XV (4DMedical Limited, Australia) was employed, which utilises fluoroscopic lung images of tidal breathing co-registered to each subject’s CT chest scan, measuring voxel-wise ventilation and ventilation defects. Regions of emphysema were identified, quantified, and spatially registered from inspiratory CT (</w:t>
            </w:r>
            <w:proofErr w:type="gramStart"/>
            <w:r w:rsidR="004C546B" w:rsidRPr="004C546B">
              <w:rPr>
                <w:color w:val="000000"/>
                <w:sz w:val="22"/>
                <w:szCs w:val="22"/>
              </w:rPr>
              <w:t>i.e.</w:t>
            </w:r>
            <w:proofErr w:type="gramEnd"/>
            <w:r w:rsidR="004C546B" w:rsidRPr="004C546B">
              <w:rPr>
                <w:color w:val="000000"/>
                <w:sz w:val="22"/>
                <w:szCs w:val="22"/>
              </w:rPr>
              <w:t xml:space="preserve"> CT-based emphysema scoring using % &lt;-950 Hounsfield Unit) using an automated algorithm (MATLAB).</w:t>
            </w:r>
            <w:r w:rsidR="004C546B">
              <w:rPr>
                <w:color w:val="000000"/>
                <w:sz w:val="22"/>
                <w:szCs w:val="22"/>
              </w:rPr>
              <w:t xml:space="preserve"> </w:t>
            </w:r>
          </w:p>
          <w:p w14:paraId="5BC155AC" w14:textId="77777777" w:rsidR="007F2DB8" w:rsidRDefault="007758D4" w:rsidP="000A28E2">
            <w:pPr>
              <w:pStyle w:val="Pa12"/>
              <w:rPr>
                <w:color w:val="000000"/>
                <w:sz w:val="22"/>
                <w:szCs w:val="22"/>
              </w:rPr>
            </w:pPr>
            <w:r>
              <w:rPr>
                <w:b/>
                <w:bCs/>
                <w:color w:val="000000"/>
                <w:sz w:val="22"/>
                <w:szCs w:val="22"/>
              </w:rPr>
              <w:t>Results:</w:t>
            </w:r>
            <w:r>
              <w:rPr>
                <w:color w:val="000000"/>
                <w:sz w:val="22"/>
                <w:szCs w:val="22"/>
              </w:rPr>
              <w:t xml:space="preserve"> </w:t>
            </w:r>
            <w:r w:rsidR="004C546B" w:rsidRPr="004C546B">
              <w:rPr>
                <w:color w:val="000000"/>
                <w:sz w:val="22"/>
                <w:szCs w:val="22"/>
              </w:rPr>
              <w:t>Nineteen COPD patients (aged 52-71 years, 68% females) underwent PFTs and XV imaging. The participants presented with an average value of 24 for FEV</w:t>
            </w:r>
            <w:r w:rsidR="004C546B" w:rsidRPr="0007435F">
              <w:rPr>
                <w:color w:val="000000"/>
                <w:sz w:val="22"/>
                <w:szCs w:val="22"/>
                <w:vertAlign w:val="subscript"/>
              </w:rPr>
              <w:t>1</w:t>
            </w:r>
            <w:r w:rsidR="004C546B" w:rsidRPr="004C546B">
              <w:rPr>
                <w:color w:val="000000"/>
                <w:sz w:val="22"/>
                <w:szCs w:val="22"/>
              </w:rPr>
              <w:t>% predicted and a FEV</w:t>
            </w:r>
            <w:r w:rsidR="004C546B" w:rsidRPr="0007435F">
              <w:rPr>
                <w:color w:val="000000"/>
                <w:sz w:val="22"/>
                <w:szCs w:val="22"/>
                <w:vertAlign w:val="subscript"/>
              </w:rPr>
              <w:t>1</w:t>
            </w:r>
            <w:r w:rsidR="004C546B" w:rsidRPr="004C546B">
              <w:rPr>
                <w:color w:val="000000"/>
                <w:sz w:val="22"/>
                <w:szCs w:val="22"/>
              </w:rPr>
              <w:t>/FVC ratio of 35. The average emphysema score was 19% of the total lung volume. The lung regions affected by emphysema showed a significantly slower expansion rate compared to non-emphysema regions (0.049±0.016 vs 0.055±0.016 ml/sec, p=0.013). Further, lung tissues with emphysema tended to have lower specific ventilation, which can be both quantified (0.087±0.024 vs 0.093±0.018) and visualised using XV technology (Figure 1).</w:t>
            </w:r>
            <w:r w:rsidR="004C546B">
              <w:rPr>
                <w:color w:val="000000"/>
                <w:sz w:val="22"/>
                <w:szCs w:val="22"/>
              </w:rPr>
              <w:t xml:space="preserve"> </w:t>
            </w:r>
          </w:p>
          <w:p w14:paraId="28489349" w14:textId="69C68CC6" w:rsidR="007F2DB8" w:rsidRDefault="007758D4" w:rsidP="004C546B">
            <w:pPr>
              <w:pStyle w:val="Pa12"/>
              <w:rPr>
                <w:color w:val="000000"/>
                <w:sz w:val="22"/>
                <w:szCs w:val="22"/>
              </w:rPr>
            </w:pPr>
            <w:r>
              <w:rPr>
                <w:b/>
                <w:bCs/>
                <w:color w:val="000000"/>
                <w:sz w:val="22"/>
                <w:szCs w:val="22"/>
              </w:rPr>
              <w:t>Conclusion:</w:t>
            </w:r>
            <w:r>
              <w:rPr>
                <w:color w:val="000000"/>
                <w:sz w:val="22"/>
                <w:szCs w:val="22"/>
              </w:rPr>
              <w:t xml:space="preserve"> </w:t>
            </w:r>
            <w:r w:rsidR="004C546B" w:rsidRPr="004C546B">
              <w:rPr>
                <w:color w:val="000000"/>
                <w:sz w:val="22"/>
                <w:szCs w:val="22"/>
              </w:rPr>
              <w:t>The results of this study show quantifiable differences in differential lung expansion in patients with COPD. The research underscores the potential value of quantifying regional ventilation defects to enhance our understanding of the pathophysiology of COPD, facilitate clinical phenotyping, and monitor treatment responses.</w:t>
            </w:r>
          </w:p>
          <w:p w14:paraId="61FED8B1" w14:textId="77777777" w:rsidR="007F2DB8" w:rsidRPr="007F2DB8" w:rsidRDefault="007F2DB8" w:rsidP="007F2DB8">
            <w:pPr>
              <w:pStyle w:val="Default"/>
            </w:pPr>
          </w:p>
          <w:p w14:paraId="0861549B" w14:textId="0976A946" w:rsidR="001564A4" w:rsidRDefault="004C546B" w:rsidP="004C546B">
            <w:pPr>
              <w:pStyle w:val="Pa12"/>
              <w:rPr>
                <w:sz w:val="22"/>
                <w:szCs w:val="22"/>
              </w:rPr>
            </w:pPr>
            <w:r>
              <w:rPr>
                <w:b/>
                <w:bCs/>
                <w:color w:val="000000"/>
                <w:sz w:val="22"/>
                <w:szCs w:val="22"/>
              </w:rPr>
              <w:t>Declaration of Interest:</w:t>
            </w:r>
            <w:r w:rsidRPr="004C546B">
              <w:rPr>
                <w:sz w:val="16"/>
                <w:szCs w:val="16"/>
              </w:rPr>
              <w:t xml:space="preserve"> </w:t>
            </w:r>
            <w:r w:rsidRPr="004C546B">
              <w:rPr>
                <w:sz w:val="22"/>
                <w:szCs w:val="22"/>
              </w:rPr>
              <w:t>N. Eikelis, K. Nilsen, J. Kirkness, P. Pirakalathanan, A. Fouras are employees of 4DMedical.</w:t>
            </w:r>
          </w:p>
          <w:p w14:paraId="026A31BD" w14:textId="468A1F5D" w:rsidR="007F2DB8" w:rsidRPr="007F2DB8" w:rsidRDefault="0007435F" w:rsidP="007F2DB8">
            <w:pPr>
              <w:pStyle w:val="Default"/>
              <w:rPr>
                <w:sz w:val="22"/>
                <w:szCs w:val="22"/>
              </w:rPr>
            </w:pPr>
            <w:r w:rsidRPr="0007435F">
              <w:rPr>
                <w:b/>
                <w:bCs/>
                <w:sz w:val="22"/>
                <w:szCs w:val="22"/>
              </w:rPr>
              <w:t>Key Words</w:t>
            </w:r>
            <w:r w:rsidR="007F2DB8" w:rsidRPr="0007435F">
              <w:rPr>
                <w:b/>
                <w:bCs/>
                <w:sz w:val="22"/>
                <w:szCs w:val="22"/>
              </w:rPr>
              <w:t>:</w:t>
            </w:r>
            <w:r w:rsidR="007F2DB8" w:rsidRPr="007F2DB8">
              <w:rPr>
                <w:sz w:val="22"/>
                <w:szCs w:val="22"/>
              </w:rPr>
              <w:t xml:space="preserve"> COPD, ventilation defects, regional ventilation, </w:t>
            </w:r>
            <w:r>
              <w:rPr>
                <w:sz w:val="22"/>
                <w:szCs w:val="22"/>
              </w:rPr>
              <w:t>X</w:t>
            </w:r>
            <w:r w:rsidR="007F2DB8" w:rsidRPr="007F2DB8">
              <w:rPr>
                <w:sz w:val="22"/>
                <w:szCs w:val="22"/>
              </w:rPr>
              <w:t xml:space="preserve">-ray </w:t>
            </w:r>
            <w:r>
              <w:rPr>
                <w:sz w:val="22"/>
                <w:szCs w:val="22"/>
              </w:rPr>
              <w:t>V</w:t>
            </w:r>
            <w:r w:rsidR="007F2DB8" w:rsidRPr="007F2DB8">
              <w:rPr>
                <w:sz w:val="22"/>
                <w:szCs w:val="22"/>
              </w:rPr>
              <w:t>elocimetry</w:t>
            </w:r>
          </w:p>
          <w:p w14:paraId="438166DF" w14:textId="23009E53" w:rsidR="004C546B" w:rsidRPr="007F2DB8" w:rsidRDefault="007F2DB8" w:rsidP="007F2DB8">
            <w:pPr>
              <w:pStyle w:val="Default"/>
              <w:rPr>
                <w:sz w:val="22"/>
                <w:szCs w:val="22"/>
              </w:rPr>
            </w:pPr>
            <w:r w:rsidRPr="0007435F">
              <w:rPr>
                <w:b/>
                <w:bCs/>
                <w:sz w:val="22"/>
                <w:szCs w:val="22"/>
              </w:rPr>
              <w:t>Word Count:</w:t>
            </w:r>
            <w:r w:rsidRPr="007F2DB8">
              <w:rPr>
                <w:sz w:val="22"/>
                <w:szCs w:val="22"/>
              </w:rPr>
              <w:t xml:space="preserve"> 298/300</w:t>
            </w:r>
          </w:p>
          <w:p w14:paraId="7C8C704C" w14:textId="36FA8BEA" w:rsidR="004C546B" w:rsidRDefault="007F2DB8" w:rsidP="000A28E2">
            <w:pPr>
              <w:pStyle w:val="Pa12"/>
              <w:rPr>
                <w:b/>
                <w:bCs/>
                <w:sz w:val="22"/>
                <w:szCs w:val="22"/>
              </w:rPr>
            </w:pPr>
            <w:r w:rsidRPr="004C546B">
              <w:rPr>
                <w:b/>
                <w:bCs/>
                <w:noProof/>
              </w:rPr>
              <w:drawing>
                <wp:anchor distT="0" distB="0" distL="114300" distR="114300" simplePos="0" relativeHeight="251658240" behindDoc="0" locked="0" layoutInCell="1" allowOverlap="1" wp14:anchorId="32B74494" wp14:editId="3BE21B9C">
                  <wp:simplePos x="0" y="0"/>
                  <wp:positionH relativeFrom="column">
                    <wp:posOffset>-1270</wp:posOffset>
                  </wp:positionH>
                  <wp:positionV relativeFrom="paragraph">
                    <wp:posOffset>155575</wp:posOffset>
                  </wp:positionV>
                  <wp:extent cx="3147060" cy="946150"/>
                  <wp:effectExtent l="0" t="0" r="0" b="6350"/>
                  <wp:wrapSquare wrapText="bothSides"/>
                  <wp:docPr id="95927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7060" cy="946150"/>
                          </a:xfrm>
                          <a:prstGeom prst="rect">
                            <a:avLst/>
                          </a:prstGeom>
                          <a:noFill/>
                        </pic:spPr>
                      </pic:pic>
                    </a:graphicData>
                  </a:graphic>
                  <wp14:sizeRelH relativeFrom="margin">
                    <wp14:pctWidth>0</wp14:pctWidth>
                  </wp14:sizeRelH>
                  <wp14:sizeRelV relativeFrom="margin">
                    <wp14:pctHeight>0</wp14:pctHeight>
                  </wp14:sizeRelV>
                </wp:anchor>
              </w:drawing>
            </w:r>
          </w:p>
          <w:p w14:paraId="18F77515" w14:textId="120A7A17" w:rsidR="001564A4" w:rsidRPr="0050053A" w:rsidRDefault="004C546B" w:rsidP="000A28E2">
            <w:pPr>
              <w:pStyle w:val="Pa12"/>
              <w:rPr>
                <w:sz w:val="22"/>
                <w:szCs w:val="22"/>
              </w:rPr>
            </w:pPr>
            <w:r w:rsidRPr="004C546B">
              <w:rPr>
                <w:b/>
                <w:bCs/>
                <w:sz w:val="22"/>
                <w:szCs w:val="22"/>
              </w:rPr>
              <w:t>Figure 1:</w:t>
            </w:r>
            <w:r w:rsidRPr="004C546B">
              <w:rPr>
                <w:sz w:val="22"/>
                <w:szCs w:val="22"/>
              </w:rPr>
              <w:t xml:space="preserve"> (a) Reduced expansion rates were found in lung regions affected by emphysema compared to regions not affected by emphysema. A representative ventilation map of a COPD patient with red areas depicting regions of relative low ventilation (b, bottom images) that correspond to lung regions affected by emphysema on CT (b, top images), frequency distribution of specific ventilation demonstrating lower ventilation in lung regions affected by emphysema (c, red bars) compared to lung regions not affected by emphysema (c, blue bars) and reduction in lung expansion rate in lung tissue affected by emphysema (d, red bars) compared to lung tissue not affected by emphysema (d, blue bars).</w:t>
            </w:r>
          </w:p>
          <w:p w14:paraId="68537800" w14:textId="77777777" w:rsidR="001564A4" w:rsidRPr="0050053A" w:rsidRDefault="001564A4" w:rsidP="000A28E2">
            <w:pPr>
              <w:pStyle w:val="Pa12"/>
              <w:rPr>
                <w:rStyle w:val="A4"/>
                <w:bCs/>
              </w:rPr>
            </w:pP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7435F"/>
    <w:rsid w:val="00092F61"/>
    <w:rsid w:val="001564A4"/>
    <w:rsid w:val="002934A7"/>
    <w:rsid w:val="004C546B"/>
    <w:rsid w:val="004D4856"/>
    <w:rsid w:val="0051574E"/>
    <w:rsid w:val="007758D4"/>
    <w:rsid w:val="007F2DB8"/>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4D4856"/>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092F61"/>
    <w:rPr>
      <w:sz w:val="16"/>
      <w:szCs w:val="16"/>
    </w:rPr>
  </w:style>
  <w:style w:type="paragraph" w:styleId="CommentText">
    <w:name w:val="annotation text"/>
    <w:basedOn w:val="Normal"/>
    <w:link w:val="CommentTextChar"/>
    <w:uiPriority w:val="99"/>
    <w:unhideWhenUsed/>
    <w:rsid w:val="00092F61"/>
    <w:rPr>
      <w:sz w:val="20"/>
      <w:szCs w:val="20"/>
    </w:rPr>
  </w:style>
  <w:style w:type="character" w:customStyle="1" w:styleId="CommentTextChar">
    <w:name w:val="Comment Text Char"/>
    <w:basedOn w:val="DefaultParagraphFont"/>
    <w:link w:val="CommentText"/>
    <w:uiPriority w:val="99"/>
    <w:rsid w:val="00092F6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092F61"/>
    <w:rPr>
      <w:b/>
      <w:bCs/>
    </w:rPr>
  </w:style>
  <w:style w:type="character" w:customStyle="1" w:styleId="CommentSubjectChar">
    <w:name w:val="Comment Subject Char"/>
    <w:basedOn w:val="CommentTextChar"/>
    <w:link w:val="CommentSubject"/>
    <w:uiPriority w:val="99"/>
    <w:semiHidden/>
    <w:rsid w:val="00092F61"/>
    <w:rPr>
      <w:rFonts w:ascii="Times New Roman" w:eastAsia="Times New Roman" w:hAnsi="Times New Roman" w:cs="Times New Roman"/>
      <w:b/>
      <w:bCs/>
      <w:lang w:val="en-GB"/>
    </w:rPr>
  </w:style>
  <w:style w:type="paragraph" w:styleId="Revision">
    <w:name w:val="Revision"/>
    <w:hidden/>
    <w:uiPriority w:val="99"/>
    <w:semiHidden/>
    <w:rsid w:val="00092F6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Nina Eikelis</cp:lastModifiedBy>
  <cp:revision>2</cp:revision>
  <dcterms:created xsi:type="dcterms:W3CDTF">2023-10-18T02:11:00Z</dcterms:created>
  <dcterms:modified xsi:type="dcterms:W3CDTF">2023-10-18T02:11:00Z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