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ACBDA" w14:textId="77777777" w:rsidR="002B691E" w:rsidRDefault="002B691E" w:rsidP="001354AB">
      <w:pPr>
        <w:rPr>
          <w:b/>
          <w:bCs/>
        </w:rPr>
      </w:pPr>
    </w:p>
    <w:p w14:paraId="255A61BC" w14:textId="77777777" w:rsidR="002B691E" w:rsidRDefault="002B691E" w:rsidP="001354AB">
      <w:pPr>
        <w:rPr>
          <w:b/>
          <w:bCs/>
        </w:rPr>
      </w:pPr>
    </w:p>
    <w:p w14:paraId="288F9C2F" w14:textId="1CDB550C" w:rsidR="001354AB" w:rsidRPr="002B691E" w:rsidRDefault="001354AB" w:rsidP="001354AB">
      <w:pPr>
        <w:rPr>
          <w:rFonts w:ascii="Arial" w:hAnsi="Arial" w:cs="Arial"/>
          <w:b/>
          <w:bCs/>
        </w:rPr>
      </w:pPr>
      <w:r w:rsidRPr="002B691E">
        <w:rPr>
          <w:rFonts w:ascii="Arial" w:hAnsi="Arial" w:cs="Arial"/>
          <w:b/>
          <w:bCs/>
        </w:rPr>
        <w:t>Socioeconomic status and medication utilisation in type 2 diabetes: insights from the FIELD study</w:t>
      </w:r>
    </w:p>
    <w:p w14:paraId="6E4B39DE" w14:textId="77777777" w:rsidR="001354AB" w:rsidRPr="002B691E" w:rsidRDefault="001354AB" w:rsidP="001354AB">
      <w:pPr>
        <w:rPr>
          <w:rFonts w:ascii="Arial" w:hAnsi="Arial" w:cs="Arial"/>
          <w:b/>
          <w:bCs/>
        </w:rPr>
      </w:pPr>
    </w:p>
    <w:p w14:paraId="422E5FAF" w14:textId="55420192" w:rsidR="00283D00" w:rsidRPr="002B691E" w:rsidRDefault="00283D00" w:rsidP="00283D00">
      <w:pPr>
        <w:rPr>
          <w:rFonts w:ascii="Arial" w:hAnsi="Arial" w:cs="Arial"/>
        </w:rPr>
      </w:pPr>
      <w:r w:rsidRPr="002B691E">
        <w:rPr>
          <w:rFonts w:ascii="Arial" w:hAnsi="Arial" w:cs="Arial"/>
          <w:b/>
          <w:bCs/>
        </w:rPr>
        <w:t>Background</w:t>
      </w:r>
      <w:r w:rsidRPr="002B691E">
        <w:rPr>
          <w:rFonts w:ascii="Arial" w:hAnsi="Arial" w:cs="Arial"/>
          <w:b/>
          <w:bCs/>
        </w:rPr>
        <w:br/>
      </w:r>
      <w:r w:rsidR="00F71BE9" w:rsidRPr="002B691E">
        <w:rPr>
          <w:rFonts w:ascii="Arial" w:hAnsi="Arial" w:cs="Arial"/>
        </w:rPr>
        <w:t>Type 2 diabetes (T2D) is frequently accompanied by multiple comorbidities requiring polypharmacy. Whether area-level socioeconomic status (SES) influences medication utilisation patterns in T2D remains insufficiently characterised.</w:t>
      </w:r>
    </w:p>
    <w:p w14:paraId="6E9C1258" w14:textId="77777777" w:rsidR="00283D00" w:rsidRPr="002B691E" w:rsidRDefault="00283D00" w:rsidP="00283D00">
      <w:pPr>
        <w:rPr>
          <w:rFonts w:ascii="Arial" w:hAnsi="Arial" w:cs="Arial"/>
        </w:rPr>
      </w:pPr>
    </w:p>
    <w:p w14:paraId="53D07B15" w14:textId="386FA010" w:rsidR="00283D00" w:rsidRPr="002B691E" w:rsidRDefault="00283D00" w:rsidP="00283D00">
      <w:pPr>
        <w:rPr>
          <w:rFonts w:ascii="Arial" w:hAnsi="Arial" w:cs="Arial"/>
        </w:rPr>
      </w:pPr>
      <w:r w:rsidRPr="002B691E">
        <w:rPr>
          <w:rFonts w:ascii="Arial" w:hAnsi="Arial" w:cs="Arial"/>
          <w:b/>
          <w:bCs/>
        </w:rPr>
        <w:t>Methods</w:t>
      </w:r>
      <w:r w:rsidRPr="002B691E">
        <w:rPr>
          <w:rFonts w:ascii="Arial" w:hAnsi="Arial" w:cs="Arial"/>
          <w:b/>
          <w:bCs/>
        </w:rPr>
        <w:br/>
      </w:r>
      <w:r w:rsidR="00F71BE9" w:rsidRPr="002B691E">
        <w:rPr>
          <w:rFonts w:ascii="Arial" w:hAnsi="Arial" w:cs="Arial"/>
        </w:rPr>
        <w:t xml:space="preserve">We analysed 5,715 </w:t>
      </w:r>
      <w:r w:rsidR="00556FA5" w:rsidRPr="002B691E">
        <w:rPr>
          <w:rFonts w:ascii="Arial" w:hAnsi="Arial" w:cs="Arial"/>
        </w:rPr>
        <w:t xml:space="preserve">Australian </w:t>
      </w:r>
      <w:r w:rsidR="00F71BE9" w:rsidRPr="002B691E">
        <w:rPr>
          <w:rFonts w:ascii="Arial" w:hAnsi="Arial" w:cs="Arial"/>
        </w:rPr>
        <w:t>participants with T2D enrolled in the Fenofibrate Intervention and Event Lowering in Diabetes (FIELD) study. Residential addresses were geocoded and linked to Australian Census-derived area-level SES measures: Index of Relative Socioeconomic Disadvantage (IRSD), Index of Education and Occupation (IEO), and Index of Economic Resources (IER), expressed as state-level percentiles. Medication use throughout the entire FIELD trial follow-up was categorised into 24 therapeutic classes. Associations between SES and (i) use of individual drug classes and (ii) total number of drug classes were examined using correlation, logistic regression, and Poisson models adjusted for age, sex, diabetes duration, HbA1c, eGFR, and prior cardiovascular or microvascular disease.</w:t>
      </w:r>
    </w:p>
    <w:p w14:paraId="341C8D99" w14:textId="77777777" w:rsidR="000F7F7B" w:rsidRPr="002B691E" w:rsidRDefault="000F7F7B" w:rsidP="00283D00">
      <w:pPr>
        <w:rPr>
          <w:rFonts w:ascii="Arial" w:hAnsi="Arial" w:cs="Arial"/>
        </w:rPr>
      </w:pPr>
    </w:p>
    <w:p w14:paraId="05B28471" w14:textId="40C50A2A" w:rsidR="000F7F7B" w:rsidRPr="002B691E" w:rsidRDefault="00283D00" w:rsidP="000F7F7B">
      <w:pPr>
        <w:rPr>
          <w:rFonts w:ascii="Arial" w:hAnsi="Arial" w:cs="Arial"/>
        </w:rPr>
      </w:pPr>
      <w:r w:rsidRPr="002B691E">
        <w:rPr>
          <w:rFonts w:ascii="Arial" w:hAnsi="Arial" w:cs="Arial"/>
          <w:b/>
          <w:bCs/>
        </w:rPr>
        <w:t>Results</w:t>
      </w:r>
      <w:r w:rsidRPr="002B691E">
        <w:rPr>
          <w:rFonts w:ascii="Arial" w:hAnsi="Arial" w:cs="Arial"/>
          <w:b/>
          <w:bCs/>
        </w:rPr>
        <w:br/>
      </w:r>
      <w:r w:rsidR="00F71BE9" w:rsidRPr="002B691E">
        <w:rPr>
          <w:rFonts w:ascii="Arial" w:hAnsi="Arial" w:cs="Arial"/>
        </w:rPr>
        <w:t xml:space="preserve">Across all indices, residence in higher-SES areas was associated with fewer medication classes used during follow-up (Spearman rho −0.10 to −0.12, all p&lt;0.001). Users of </w:t>
      </w:r>
      <w:r w:rsidR="00556FA5" w:rsidRPr="002B691E">
        <w:rPr>
          <w:rFonts w:ascii="Arial" w:hAnsi="Arial" w:cs="Arial"/>
        </w:rPr>
        <w:t xml:space="preserve">the </w:t>
      </w:r>
      <w:r w:rsidR="00F71BE9" w:rsidRPr="002B691E">
        <w:rPr>
          <w:rFonts w:ascii="Arial" w:hAnsi="Arial" w:cs="Arial"/>
        </w:rPr>
        <w:t>most medication classes resided in lower-SES areas than non-users (all p&lt;0.05). In adjusted logistic regression, each decile increase in area-level SES was associated with 2.1–8.1% lower odds of using a given medication class (all p&lt;0.05). Consistently, higher area-level SES was associated with fewer medication classes overall (adjusted Poisson RR 0.93–0.99 per 10-percentile increase), indicating a graded reduction in medication burden across the SES spectrum.</w:t>
      </w:r>
      <w:r w:rsidR="00F71BE9" w:rsidRPr="002B691E">
        <w:rPr>
          <w:rFonts w:ascii="Arial" w:hAnsi="Arial" w:cs="Arial"/>
        </w:rPr>
        <w:br/>
        <w:t xml:space="preserve">Among class users, associations between area-level SES and within-class medication counts were heterogeneous. Residence in higher-SES areas was associated with greater supplement use (RR 1.01–1.08, p&lt;0.007), whereas analgesic use </w:t>
      </w:r>
      <w:r w:rsidR="00556FA5" w:rsidRPr="002B691E">
        <w:rPr>
          <w:rFonts w:ascii="Arial" w:hAnsi="Arial" w:cs="Arial"/>
        </w:rPr>
        <w:t>was</w:t>
      </w:r>
      <w:r w:rsidR="00F71BE9" w:rsidRPr="002B691E">
        <w:rPr>
          <w:rFonts w:ascii="Arial" w:hAnsi="Arial" w:cs="Arial"/>
        </w:rPr>
        <w:t xml:space="preserve"> modestly with increasing SES (RR 0.99, p&lt;0.04).</w:t>
      </w:r>
    </w:p>
    <w:p w14:paraId="4ED1FD0F" w14:textId="2C8F8E70" w:rsidR="00283D00" w:rsidRPr="002B691E" w:rsidRDefault="00283D00" w:rsidP="00283D00">
      <w:pPr>
        <w:rPr>
          <w:rFonts w:ascii="Arial" w:hAnsi="Arial" w:cs="Arial"/>
        </w:rPr>
      </w:pPr>
    </w:p>
    <w:p w14:paraId="7A630E76" w14:textId="2CDF65F8" w:rsidR="00283D00" w:rsidRPr="002B691E" w:rsidRDefault="00283D00" w:rsidP="00283D00">
      <w:pPr>
        <w:rPr>
          <w:rFonts w:ascii="Arial" w:hAnsi="Arial" w:cs="Arial"/>
        </w:rPr>
      </w:pPr>
      <w:r w:rsidRPr="002B691E">
        <w:rPr>
          <w:rFonts w:ascii="Arial" w:hAnsi="Arial" w:cs="Arial"/>
          <w:b/>
          <w:bCs/>
        </w:rPr>
        <w:t>Conclusions</w:t>
      </w:r>
      <w:r w:rsidRPr="002B691E">
        <w:rPr>
          <w:rFonts w:ascii="Arial" w:hAnsi="Arial" w:cs="Arial"/>
          <w:b/>
          <w:bCs/>
        </w:rPr>
        <w:br/>
      </w:r>
      <w:r w:rsidR="00F71BE9" w:rsidRPr="002B691E">
        <w:rPr>
          <w:rFonts w:ascii="Arial" w:hAnsi="Arial" w:cs="Arial"/>
        </w:rPr>
        <w:t>Residence in lower-SES areas was associated with greater overall medication burden during trial follow-up. Within-class medication intensity varied by therapeutic category, suggesting socioeconomic gradients in comorbidity burden, symptom management, and discretionary medication use.</w:t>
      </w:r>
    </w:p>
    <w:p w14:paraId="4F888D53" w14:textId="2BC1BAF7" w:rsidR="00B53D9A" w:rsidRPr="002B691E" w:rsidRDefault="00B53D9A" w:rsidP="00283D00">
      <w:pPr>
        <w:rPr>
          <w:rFonts w:ascii="Arial" w:hAnsi="Arial" w:cs="Arial"/>
        </w:rPr>
      </w:pPr>
    </w:p>
    <w:sectPr w:rsidR="00B53D9A" w:rsidRPr="002B69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A38"/>
    <w:rsid w:val="00037893"/>
    <w:rsid w:val="000C1746"/>
    <w:rsid w:val="000F7F7B"/>
    <w:rsid w:val="001354AB"/>
    <w:rsid w:val="001E0613"/>
    <w:rsid w:val="002038C4"/>
    <w:rsid w:val="0027003C"/>
    <w:rsid w:val="00283D00"/>
    <w:rsid w:val="002B691E"/>
    <w:rsid w:val="00326A24"/>
    <w:rsid w:val="003A3EBB"/>
    <w:rsid w:val="00425F24"/>
    <w:rsid w:val="0045328A"/>
    <w:rsid w:val="004D27BC"/>
    <w:rsid w:val="00556FA5"/>
    <w:rsid w:val="00564A38"/>
    <w:rsid w:val="005A699C"/>
    <w:rsid w:val="005C2B03"/>
    <w:rsid w:val="0060649C"/>
    <w:rsid w:val="006205E2"/>
    <w:rsid w:val="00631802"/>
    <w:rsid w:val="00752F96"/>
    <w:rsid w:val="008500C4"/>
    <w:rsid w:val="0090482D"/>
    <w:rsid w:val="00916E4E"/>
    <w:rsid w:val="0094281C"/>
    <w:rsid w:val="00962009"/>
    <w:rsid w:val="00992E03"/>
    <w:rsid w:val="00B2188A"/>
    <w:rsid w:val="00B53D9A"/>
    <w:rsid w:val="00C572DE"/>
    <w:rsid w:val="00CC5C1E"/>
    <w:rsid w:val="00D26B82"/>
    <w:rsid w:val="00E22AFB"/>
    <w:rsid w:val="00E468C1"/>
    <w:rsid w:val="00EC1416"/>
    <w:rsid w:val="00F71BE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74C14"/>
  <w15:chartTrackingRefBased/>
  <w15:docId w15:val="{A3A6A30E-1851-40AC-B881-7222BD577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AU" w:eastAsia="en-US" w:bidi="th-TH"/>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4A38"/>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564A38"/>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564A38"/>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564A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4A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4A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A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A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A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A38"/>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564A38"/>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564A38"/>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564A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4A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4A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A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A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A38"/>
    <w:rPr>
      <w:rFonts w:eastAsiaTheme="majorEastAsia" w:cstheme="majorBidi"/>
      <w:color w:val="272727" w:themeColor="text1" w:themeTint="D8"/>
    </w:rPr>
  </w:style>
  <w:style w:type="paragraph" w:styleId="Title">
    <w:name w:val="Title"/>
    <w:basedOn w:val="Normal"/>
    <w:next w:val="Normal"/>
    <w:link w:val="TitleChar"/>
    <w:uiPriority w:val="10"/>
    <w:qFormat/>
    <w:rsid w:val="00564A38"/>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564A38"/>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564A38"/>
    <w:pPr>
      <w:numPr>
        <w:ilvl w:val="1"/>
      </w:numPr>
      <w:spacing w:after="160"/>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564A38"/>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564A3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4A38"/>
    <w:rPr>
      <w:i/>
      <w:iCs/>
      <w:color w:val="404040" w:themeColor="text1" w:themeTint="BF"/>
    </w:rPr>
  </w:style>
  <w:style w:type="paragraph" w:styleId="ListParagraph">
    <w:name w:val="List Paragraph"/>
    <w:basedOn w:val="Normal"/>
    <w:uiPriority w:val="34"/>
    <w:qFormat/>
    <w:rsid w:val="00564A38"/>
    <w:pPr>
      <w:ind w:left="720"/>
      <w:contextualSpacing/>
    </w:pPr>
  </w:style>
  <w:style w:type="character" w:styleId="IntenseEmphasis">
    <w:name w:val="Intense Emphasis"/>
    <w:basedOn w:val="DefaultParagraphFont"/>
    <w:uiPriority w:val="21"/>
    <w:qFormat/>
    <w:rsid w:val="00564A38"/>
    <w:rPr>
      <w:i/>
      <w:iCs/>
      <w:color w:val="0F4761" w:themeColor="accent1" w:themeShade="BF"/>
    </w:rPr>
  </w:style>
  <w:style w:type="paragraph" w:styleId="IntenseQuote">
    <w:name w:val="Intense Quote"/>
    <w:basedOn w:val="Normal"/>
    <w:next w:val="Normal"/>
    <w:link w:val="IntenseQuoteChar"/>
    <w:uiPriority w:val="30"/>
    <w:qFormat/>
    <w:rsid w:val="00564A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4A38"/>
    <w:rPr>
      <w:i/>
      <w:iCs/>
      <w:color w:val="0F4761" w:themeColor="accent1" w:themeShade="BF"/>
    </w:rPr>
  </w:style>
  <w:style w:type="character" w:styleId="IntenseReference">
    <w:name w:val="Intense Reference"/>
    <w:basedOn w:val="DefaultParagraphFont"/>
    <w:uiPriority w:val="32"/>
    <w:qFormat/>
    <w:rsid w:val="00564A38"/>
    <w:rPr>
      <w:b/>
      <w:bCs/>
      <w:smallCaps/>
      <w:color w:val="0F4761" w:themeColor="accent1" w:themeShade="BF"/>
      <w:spacing w:val="5"/>
    </w:rPr>
  </w:style>
  <w:style w:type="paragraph" w:styleId="NormalWeb">
    <w:name w:val="Normal (Web)"/>
    <w:basedOn w:val="Normal"/>
    <w:uiPriority w:val="99"/>
    <w:semiHidden/>
    <w:unhideWhenUsed/>
    <w:rsid w:val="00283D00"/>
    <w:rPr>
      <w:rFonts w:ascii="Times New Roman" w:hAnsi="Times New Roman" w:cs="Angsana New"/>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AF746F-7F2A-4C31-B842-EB646028D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957DE2-7364-4E0E-BFD1-C3AF0E37E0ED}">
  <ds:schemaRefs>
    <ds:schemaRef ds:uri="http://schemas.microsoft.com/sharepoint/v3/contenttype/forms"/>
  </ds:schemaRefs>
</ds:datastoreItem>
</file>

<file path=customXml/itemProps3.xml><?xml version="1.0" encoding="utf-8"?>
<ds:datastoreItem xmlns:ds="http://schemas.openxmlformats.org/officeDocument/2006/customXml" ds:itemID="{E1EA6C00-BCE5-4FCD-888C-E7436FA413CF}">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2043</Characters>
  <Application>Microsoft Office Word</Application>
  <DocSecurity>0</DocSecurity>
  <Lines>38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Januszewski</dc:creator>
  <cp:keywords/>
  <dc:description/>
  <cp:lastModifiedBy>Tanya Yandall</cp:lastModifiedBy>
  <cp:revision>3</cp:revision>
  <dcterms:created xsi:type="dcterms:W3CDTF">2026-02-15T03:18:00Z</dcterms:created>
  <dcterms:modified xsi:type="dcterms:W3CDTF">2026-02-15T03:18:00Z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