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095262" w:rsidRPr="0050053A" w14:paraId="5C38377B" w14:textId="77777777" w:rsidTr="000A28E2">
        <w:trPr>
          <w:jc w:val="center"/>
        </w:trPr>
        <w:tc>
          <w:tcPr>
            <w:tcW w:w="8640" w:type="dxa"/>
            <w:shd w:val="clear" w:color="auto" w:fill="auto"/>
          </w:tcPr>
          <w:p w14:paraId="5C44F357" w14:textId="10C36980" w:rsidR="00095262" w:rsidRPr="0050053A" w:rsidRDefault="00095262" w:rsidP="00095262">
            <w:pPr>
              <w:spacing w:before="120" w:after="120"/>
              <w:rPr>
                <w:rFonts w:ascii="Arial" w:hAnsi="Arial" w:cs="Arial"/>
                <w:b/>
                <w:sz w:val="22"/>
                <w:szCs w:val="22"/>
                <w:lang w:val="en-US" w:eastAsia="zh-CN"/>
              </w:rPr>
            </w:pPr>
            <w:r w:rsidRPr="000B4080">
              <w:rPr>
                <w:rFonts w:ascii="Arial" w:hAnsi="Arial" w:cs="Arial"/>
                <w:b/>
                <w:sz w:val="22"/>
                <w:szCs w:val="22"/>
                <w:lang w:val="en-US" w:eastAsia="en-GB"/>
              </w:rPr>
              <w:t xml:space="preserve">Implications of the </w:t>
            </w:r>
            <w:r>
              <w:rPr>
                <w:rFonts w:ascii="Arial" w:hAnsi="Arial" w:cs="Arial"/>
                <w:b/>
                <w:sz w:val="22"/>
                <w:szCs w:val="22"/>
                <w:lang w:val="en-US" w:eastAsia="en-GB"/>
              </w:rPr>
              <w:t>new</w:t>
            </w:r>
            <w:r w:rsidRPr="000B4080">
              <w:rPr>
                <w:rFonts w:ascii="Arial" w:hAnsi="Arial" w:cs="Arial"/>
                <w:b/>
                <w:sz w:val="22"/>
                <w:szCs w:val="22"/>
                <w:lang w:val="en-US" w:eastAsia="en-GB"/>
              </w:rPr>
              <w:t xml:space="preserve"> lung function guidelines among </w:t>
            </w:r>
            <w:r>
              <w:rPr>
                <w:rFonts w:ascii="Arial" w:hAnsi="Arial" w:cs="Arial"/>
                <w:b/>
                <w:sz w:val="22"/>
                <w:szCs w:val="22"/>
                <w:lang w:val="en-US" w:eastAsia="en-GB"/>
              </w:rPr>
              <w:t xml:space="preserve">ILD </w:t>
            </w:r>
            <w:r w:rsidRPr="000B4080">
              <w:rPr>
                <w:rFonts w:ascii="Arial" w:hAnsi="Arial" w:cs="Arial"/>
                <w:b/>
                <w:sz w:val="22"/>
                <w:szCs w:val="22"/>
                <w:lang w:val="en-US" w:eastAsia="en-GB"/>
              </w:rPr>
              <w:t xml:space="preserve">patients </w:t>
            </w:r>
          </w:p>
        </w:tc>
      </w:tr>
      <w:tr w:rsidR="00095262" w:rsidRPr="0050053A" w14:paraId="0E2E035C" w14:textId="77777777" w:rsidTr="000A28E2">
        <w:trPr>
          <w:jc w:val="center"/>
        </w:trPr>
        <w:tc>
          <w:tcPr>
            <w:tcW w:w="8640" w:type="dxa"/>
            <w:shd w:val="clear" w:color="auto" w:fill="auto"/>
          </w:tcPr>
          <w:p w14:paraId="73B55295" w14:textId="32754140" w:rsidR="00095262" w:rsidRPr="00413B94" w:rsidRDefault="00095262" w:rsidP="00095262">
            <w:pPr>
              <w:spacing w:before="120" w:after="120"/>
              <w:rPr>
                <w:rFonts w:ascii="Arial" w:hAnsi="Arial" w:cs="Arial"/>
                <w:sz w:val="22"/>
                <w:szCs w:val="22"/>
                <w:u w:val="single"/>
                <w:lang w:eastAsia="zh-CN"/>
              </w:rPr>
            </w:pPr>
            <w:r w:rsidRPr="000B4080">
              <w:rPr>
                <w:rFonts w:ascii="Arial" w:hAnsi="Arial" w:cs="Arial"/>
                <w:color w:val="000000" w:themeColor="text1"/>
                <w:sz w:val="22"/>
                <w:szCs w:val="22"/>
                <w:shd w:val="clear" w:color="auto" w:fill="FFFFFF"/>
              </w:rPr>
              <w:t>Andrew Li</w:t>
            </w:r>
            <w:r w:rsidRPr="000B4080">
              <w:rPr>
                <w:rFonts w:ascii="Arial" w:hAnsi="Arial" w:cs="Arial"/>
                <w:color w:val="000000" w:themeColor="text1"/>
                <w:sz w:val="22"/>
                <w:szCs w:val="22"/>
                <w:shd w:val="clear" w:color="auto" w:fill="FFFFFF"/>
                <w:vertAlign w:val="superscript"/>
              </w:rPr>
              <w:t>1,2,3</w:t>
            </w:r>
            <w:r w:rsidRPr="000B4080">
              <w:rPr>
                <w:rFonts w:ascii="Arial" w:hAnsi="Arial" w:cs="Arial"/>
                <w:color w:val="000000" w:themeColor="text1"/>
                <w:sz w:val="22"/>
                <w:szCs w:val="22"/>
                <w:shd w:val="clear" w:color="auto" w:fill="FFFFFF"/>
              </w:rPr>
              <w:t>, Alan Teoh</w:t>
            </w:r>
            <w:r w:rsidRPr="000B4080">
              <w:rPr>
                <w:rFonts w:ascii="Arial" w:hAnsi="Arial" w:cs="Arial"/>
                <w:color w:val="000000" w:themeColor="text1"/>
                <w:sz w:val="22"/>
                <w:szCs w:val="22"/>
                <w:shd w:val="clear" w:color="auto" w:fill="FFFFFF"/>
                <w:vertAlign w:val="superscript"/>
              </w:rPr>
              <w:t>3,4</w:t>
            </w:r>
            <w:r w:rsidRPr="000B4080">
              <w:rPr>
                <w:rFonts w:ascii="Arial" w:hAnsi="Arial" w:cs="Arial"/>
                <w:color w:val="000000" w:themeColor="text1"/>
                <w:sz w:val="22"/>
                <w:szCs w:val="22"/>
                <w:shd w:val="clear" w:color="auto" w:fill="FFFFFF"/>
              </w:rPr>
              <w:t>, Lauren Troy</w:t>
            </w:r>
            <w:r w:rsidRPr="000B4080">
              <w:rPr>
                <w:rFonts w:ascii="Arial" w:hAnsi="Arial" w:cs="Arial"/>
                <w:color w:val="000000" w:themeColor="text1"/>
                <w:sz w:val="22"/>
                <w:szCs w:val="22"/>
                <w:shd w:val="clear" w:color="auto" w:fill="FFFFFF"/>
                <w:vertAlign w:val="superscript"/>
              </w:rPr>
              <w:t>3,5</w:t>
            </w:r>
            <w:r w:rsidRPr="000B4080">
              <w:rPr>
                <w:rFonts w:ascii="Arial" w:hAnsi="Arial" w:cs="Arial"/>
                <w:color w:val="000000" w:themeColor="text1"/>
                <w:sz w:val="22"/>
                <w:szCs w:val="22"/>
                <w:shd w:val="clear" w:color="auto" w:fill="FFFFFF"/>
              </w:rPr>
              <w:t>, Ian Glaspole</w:t>
            </w:r>
            <w:r w:rsidRPr="000B4080">
              <w:rPr>
                <w:rFonts w:ascii="Arial" w:hAnsi="Arial" w:cs="Arial"/>
                <w:color w:val="000000" w:themeColor="text1"/>
                <w:sz w:val="22"/>
                <w:szCs w:val="22"/>
                <w:shd w:val="clear" w:color="auto" w:fill="FFFFFF"/>
                <w:vertAlign w:val="superscript"/>
              </w:rPr>
              <w:t>6</w:t>
            </w:r>
            <w:r w:rsidRPr="000B4080">
              <w:rPr>
                <w:rFonts w:ascii="Arial" w:hAnsi="Arial" w:cs="Arial"/>
                <w:color w:val="000000" w:themeColor="text1"/>
                <w:sz w:val="22"/>
                <w:szCs w:val="22"/>
                <w:shd w:val="clear" w:color="auto" w:fill="FFFFFF"/>
              </w:rPr>
              <w:t>, Margaret Wilsher</w:t>
            </w:r>
            <w:r w:rsidRPr="000B4080">
              <w:rPr>
                <w:rFonts w:ascii="Arial" w:hAnsi="Arial" w:cs="Arial"/>
                <w:color w:val="000000" w:themeColor="text1"/>
                <w:sz w:val="22"/>
                <w:szCs w:val="22"/>
                <w:shd w:val="clear" w:color="auto" w:fill="FFFFFF"/>
                <w:vertAlign w:val="superscript"/>
              </w:rPr>
              <w:t>7</w:t>
            </w:r>
            <w:r w:rsidRPr="000B4080">
              <w:rPr>
                <w:rFonts w:ascii="Arial" w:hAnsi="Arial" w:cs="Arial"/>
                <w:color w:val="000000" w:themeColor="text1"/>
                <w:sz w:val="22"/>
                <w:szCs w:val="22"/>
                <w:shd w:val="clear" w:color="auto" w:fill="FFFFFF"/>
              </w:rPr>
              <w:t>, Sally de Boer</w:t>
            </w:r>
            <w:r w:rsidRPr="000B4080">
              <w:rPr>
                <w:rFonts w:ascii="Arial" w:hAnsi="Arial" w:cs="Arial"/>
                <w:color w:val="000000" w:themeColor="text1"/>
                <w:sz w:val="22"/>
                <w:szCs w:val="22"/>
                <w:shd w:val="clear" w:color="auto" w:fill="FFFFFF"/>
                <w:vertAlign w:val="superscript"/>
              </w:rPr>
              <w:t>7</w:t>
            </w:r>
            <w:r w:rsidRPr="000B4080">
              <w:rPr>
                <w:rFonts w:ascii="Arial" w:hAnsi="Arial" w:cs="Arial"/>
                <w:color w:val="000000" w:themeColor="text1"/>
                <w:sz w:val="22"/>
                <w:szCs w:val="22"/>
                <w:shd w:val="clear" w:color="auto" w:fill="FFFFFF"/>
              </w:rPr>
              <w:t>, Jeremy Wrobel</w:t>
            </w:r>
            <w:r w:rsidRPr="000B4080">
              <w:rPr>
                <w:rFonts w:ascii="Arial" w:hAnsi="Arial" w:cs="Arial"/>
                <w:color w:val="000000" w:themeColor="text1"/>
                <w:sz w:val="22"/>
                <w:szCs w:val="22"/>
                <w:shd w:val="clear" w:color="auto" w:fill="FFFFFF"/>
                <w:vertAlign w:val="superscript"/>
              </w:rPr>
              <w:t>8,9</w:t>
            </w:r>
            <w:r w:rsidRPr="000B4080">
              <w:rPr>
                <w:rFonts w:ascii="Arial" w:hAnsi="Arial" w:cs="Arial"/>
                <w:color w:val="000000" w:themeColor="text1"/>
                <w:sz w:val="22"/>
                <w:szCs w:val="22"/>
                <w:shd w:val="clear" w:color="auto" w:fill="FFFFFF"/>
              </w:rPr>
              <w:t>,</w:t>
            </w:r>
            <w:r w:rsidRPr="000B4080">
              <w:rPr>
                <w:rStyle w:val="m8659419085027704739apple-converted-space"/>
                <w:rFonts w:ascii="Arial" w:hAnsi="Arial" w:cs="Arial"/>
                <w:color w:val="000000" w:themeColor="text1"/>
                <w:sz w:val="22"/>
                <w:szCs w:val="22"/>
                <w:shd w:val="clear" w:color="auto" w:fill="FFFFFF"/>
              </w:rPr>
              <w:t> </w:t>
            </w:r>
            <w:proofErr w:type="spellStart"/>
            <w:r w:rsidRPr="000B4080">
              <w:rPr>
                <w:rStyle w:val="m8659419085027704739apple-converted-space"/>
                <w:rFonts w:ascii="Arial" w:hAnsi="Arial" w:cs="Arial"/>
                <w:color w:val="000000" w:themeColor="text1"/>
                <w:sz w:val="22"/>
                <w:szCs w:val="22"/>
                <w:shd w:val="clear" w:color="auto" w:fill="FFFFFF"/>
              </w:rPr>
              <w:t>Yuben</w:t>
            </w:r>
            <w:proofErr w:type="spellEnd"/>
            <w:r w:rsidRPr="000B4080">
              <w:rPr>
                <w:rStyle w:val="m8659419085027704739apple-converted-space"/>
                <w:rFonts w:ascii="Arial" w:hAnsi="Arial" w:cs="Arial"/>
                <w:color w:val="000000" w:themeColor="text1"/>
                <w:sz w:val="22"/>
                <w:szCs w:val="22"/>
                <w:shd w:val="clear" w:color="auto" w:fill="FFFFFF"/>
              </w:rPr>
              <w:t xml:space="preserve"> Moodley</w:t>
            </w:r>
            <w:r w:rsidRPr="000B4080">
              <w:rPr>
                <w:rFonts w:ascii="Arial" w:hAnsi="Arial" w:cs="Arial"/>
                <w:color w:val="000000" w:themeColor="text1"/>
                <w:sz w:val="22"/>
                <w:szCs w:val="22"/>
                <w:shd w:val="clear" w:color="auto" w:fill="FFFFFF"/>
                <w:vertAlign w:val="superscript"/>
              </w:rPr>
              <w:t>8</w:t>
            </w:r>
            <w:r w:rsidRPr="000B4080">
              <w:rPr>
                <w:rStyle w:val="m8659419085027704739apple-converted-space"/>
                <w:rFonts w:ascii="Arial" w:hAnsi="Arial" w:cs="Arial"/>
                <w:color w:val="000000" w:themeColor="text1"/>
                <w:sz w:val="22"/>
                <w:szCs w:val="22"/>
                <w:shd w:val="clear" w:color="auto" w:fill="FFFFFF"/>
              </w:rPr>
              <w:t>, </w:t>
            </w:r>
            <w:r w:rsidRPr="000B4080">
              <w:rPr>
                <w:rFonts w:ascii="Arial" w:hAnsi="Arial" w:cs="Arial"/>
                <w:color w:val="000000" w:themeColor="text1"/>
                <w:sz w:val="22"/>
                <w:szCs w:val="22"/>
                <w:shd w:val="clear" w:color="auto" w:fill="FFFFFF"/>
              </w:rPr>
              <w:t>Francis Thien</w:t>
            </w:r>
            <w:r w:rsidRPr="000B4080">
              <w:rPr>
                <w:rFonts w:ascii="Arial" w:hAnsi="Arial" w:cs="Arial"/>
                <w:color w:val="000000" w:themeColor="text1"/>
                <w:sz w:val="22"/>
                <w:szCs w:val="22"/>
                <w:shd w:val="clear" w:color="auto" w:fill="FFFFFF"/>
                <w:vertAlign w:val="superscript"/>
              </w:rPr>
              <w:t>10</w:t>
            </w:r>
            <w:r w:rsidRPr="000B4080">
              <w:rPr>
                <w:rFonts w:ascii="Arial" w:hAnsi="Arial" w:cs="Arial"/>
                <w:color w:val="000000" w:themeColor="text1"/>
                <w:sz w:val="22"/>
                <w:szCs w:val="22"/>
                <w:shd w:val="clear" w:color="auto" w:fill="FFFFFF"/>
              </w:rPr>
              <w:t>, Henry Gallagher</w:t>
            </w:r>
            <w:r w:rsidRPr="000B4080">
              <w:rPr>
                <w:rFonts w:ascii="Arial" w:hAnsi="Arial" w:cs="Arial"/>
                <w:color w:val="000000" w:themeColor="text1"/>
                <w:sz w:val="22"/>
                <w:szCs w:val="22"/>
                <w:shd w:val="clear" w:color="auto" w:fill="FFFFFF"/>
                <w:vertAlign w:val="superscript"/>
              </w:rPr>
              <w:t>11</w:t>
            </w:r>
            <w:r w:rsidRPr="000B4080">
              <w:rPr>
                <w:rFonts w:ascii="Arial" w:hAnsi="Arial" w:cs="Arial"/>
                <w:color w:val="000000" w:themeColor="text1"/>
                <w:sz w:val="22"/>
                <w:szCs w:val="22"/>
                <w:shd w:val="clear" w:color="auto" w:fill="FFFFFF"/>
              </w:rPr>
              <w:t>, Michelle Galbraith</w:t>
            </w:r>
            <w:r w:rsidRPr="000B4080">
              <w:rPr>
                <w:rFonts w:ascii="Arial" w:hAnsi="Arial" w:cs="Arial"/>
                <w:color w:val="000000" w:themeColor="text1"/>
                <w:sz w:val="22"/>
                <w:szCs w:val="22"/>
                <w:shd w:val="clear" w:color="auto" w:fill="FFFFFF"/>
                <w:vertAlign w:val="superscript"/>
              </w:rPr>
              <w:t>11</w:t>
            </w:r>
            <w:r w:rsidRPr="000B4080">
              <w:rPr>
                <w:rFonts w:ascii="Arial" w:hAnsi="Arial" w:cs="Arial"/>
                <w:color w:val="000000" w:themeColor="text1"/>
                <w:sz w:val="22"/>
                <w:szCs w:val="22"/>
                <w:shd w:val="clear" w:color="auto" w:fill="FFFFFF"/>
              </w:rPr>
              <w:t>, Daniel Chambers</w:t>
            </w:r>
            <w:r w:rsidRPr="000B4080">
              <w:rPr>
                <w:rFonts w:ascii="Arial" w:hAnsi="Arial" w:cs="Arial"/>
                <w:color w:val="000000" w:themeColor="text1"/>
                <w:sz w:val="22"/>
                <w:szCs w:val="22"/>
                <w:shd w:val="clear" w:color="auto" w:fill="FFFFFF"/>
                <w:vertAlign w:val="superscript"/>
              </w:rPr>
              <w:t>12</w:t>
            </w:r>
            <w:r w:rsidRPr="000B4080">
              <w:rPr>
                <w:rFonts w:ascii="Arial" w:hAnsi="Arial" w:cs="Arial"/>
                <w:color w:val="000000" w:themeColor="text1"/>
                <w:sz w:val="22"/>
                <w:szCs w:val="22"/>
                <w:shd w:val="clear" w:color="auto" w:fill="FFFFFF"/>
              </w:rPr>
              <w:t>, John Mackintosh</w:t>
            </w:r>
            <w:r w:rsidRPr="000B4080">
              <w:rPr>
                <w:rFonts w:ascii="Arial" w:hAnsi="Arial" w:cs="Arial"/>
                <w:color w:val="000000" w:themeColor="text1"/>
                <w:sz w:val="22"/>
                <w:szCs w:val="22"/>
                <w:shd w:val="clear" w:color="auto" w:fill="FFFFFF"/>
                <w:vertAlign w:val="superscript"/>
              </w:rPr>
              <w:t>12</w:t>
            </w:r>
            <w:r w:rsidRPr="000B4080">
              <w:rPr>
                <w:rFonts w:ascii="Arial" w:hAnsi="Arial" w:cs="Arial"/>
                <w:color w:val="000000" w:themeColor="text1"/>
                <w:sz w:val="22"/>
                <w:szCs w:val="22"/>
                <w:shd w:val="clear" w:color="auto" w:fill="FFFFFF"/>
              </w:rPr>
              <w:t>, Nicole Goh</w:t>
            </w:r>
            <w:r w:rsidRPr="000B4080">
              <w:rPr>
                <w:rFonts w:ascii="Arial" w:hAnsi="Arial" w:cs="Arial"/>
                <w:color w:val="000000" w:themeColor="text1"/>
                <w:sz w:val="22"/>
                <w:szCs w:val="22"/>
                <w:shd w:val="clear" w:color="auto" w:fill="FFFFFF"/>
                <w:vertAlign w:val="superscript"/>
              </w:rPr>
              <w:t>13</w:t>
            </w:r>
            <w:r w:rsidRPr="000B4080">
              <w:rPr>
                <w:rFonts w:ascii="Arial" w:hAnsi="Arial" w:cs="Arial"/>
                <w:color w:val="000000" w:themeColor="text1"/>
                <w:sz w:val="22"/>
                <w:szCs w:val="22"/>
                <w:shd w:val="clear" w:color="auto" w:fill="FFFFFF"/>
              </w:rPr>
              <w:t>, Yet Khor</w:t>
            </w:r>
            <w:r w:rsidRPr="000B4080">
              <w:rPr>
                <w:rFonts w:ascii="Arial" w:hAnsi="Arial" w:cs="Arial"/>
                <w:color w:val="000000" w:themeColor="text1"/>
                <w:sz w:val="22"/>
                <w:szCs w:val="22"/>
                <w:shd w:val="clear" w:color="auto" w:fill="FFFFFF"/>
                <w:vertAlign w:val="superscript"/>
              </w:rPr>
              <w:t>13</w:t>
            </w:r>
            <w:r w:rsidRPr="000B4080">
              <w:rPr>
                <w:rFonts w:ascii="Arial" w:hAnsi="Arial" w:cs="Arial"/>
                <w:color w:val="000000" w:themeColor="text1"/>
                <w:sz w:val="22"/>
                <w:szCs w:val="22"/>
                <w:shd w:val="clear" w:color="auto" w:fill="FFFFFF"/>
              </w:rPr>
              <w:t>, Adrienne Edwards</w:t>
            </w:r>
            <w:r w:rsidRPr="000B4080">
              <w:rPr>
                <w:rFonts w:ascii="Arial" w:hAnsi="Arial" w:cs="Arial"/>
                <w:color w:val="000000" w:themeColor="text1"/>
                <w:sz w:val="22"/>
                <w:szCs w:val="22"/>
                <w:shd w:val="clear" w:color="auto" w:fill="FFFFFF"/>
                <w:vertAlign w:val="superscript"/>
              </w:rPr>
              <w:t>14</w:t>
            </w:r>
            <w:r w:rsidRPr="000B4080">
              <w:rPr>
                <w:rFonts w:ascii="Arial" w:hAnsi="Arial" w:cs="Arial"/>
                <w:color w:val="000000" w:themeColor="text1"/>
                <w:sz w:val="22"/>
                <w:szCs w:val="22"/>
                <w:shd w:val="clear" w:color="auto" w:fill="FFFFFF"/>
              </w:rPr>
              <w:t>, Karen Royals</w:t>
            </w:r>
            <w:r w:rsidRPr="000B4080">
              <w:rPr>
                <w:rFonts w:ascii="Arial" w:hAnsi="Arial" w:cs="Arial"/>
                <w:color w:val="000000" w:themeColor="text1"/>
                <w:sz w:val="22"/>
                <w:szCs w:val="22"/>
                <w:shd w:val="clear" w:color="auto" w:fill="FFFFFF"/>
                <w:vertAlign w:val="superscript"/>
              </w:rPr>
              <w:t>15</w:t>
            </w:r>
            <w:r w:rsidRPr="000B4080">
              <w:rPr>
                <w:rFonts w:ascii="Arial" w:hAnsi="Arial" w:cs="Arial"/>
                <w:color w:val="000000" w:themeColor="text1"/>
                <w:sz w:val="22"/>
                <w:szCs w:val="22"/>
                <w:shd w:val="clear" w:color="auto" w:fill="FFFFFF"/>
              </w:rPr>
              <w:t>, Christopher Grainge</w:t>
            </w:r>
            <w:r w:rsidRPr="000B4080">
              <w:rPr>
                <w:rFonts w:ascii="Arial" w:hAnsi="Arial" w:cs="Arial"/>
                <w:color w:val="000000" w:themeColor="text1"/>
                <w:sz w:val="22"/>
                <w:szCs w:val="22"/>
                <w:shd w:val="clear" w:color="auto" w:fill="FFFFFF"/>
                <w:vertAlign w:val="superscript"/>
              </w:rPr>
              <w:t>16</w:t>
            </w:r>
            <w:r w:rsidRPr="000B4080">
              <w:rPr>
                <w:rFonts w:ascii="Arial" w:hAnsi="Arial" w:cs="Arial"/>
                <w:color w:val="000000" w:themeColor="text1"/>
                <w:sz w:val="22"/>
                <w:szCs w:val="22"/>
                <w:shd w:val="clear" w:color="auto" w:fill="FFFFFF"/>
              </w:rPr>
              <w:t>, Benjamin Kwan</w:t>
            </w:r>
            <w:r w:rsidRPr="000B4080">
              <w:rPr>
                <w:rFonts w:ascii="Arial" w:hAnsi="Arial" w:cs="Arial"/>
                <w:color w:val="000000" w:themeColor="text1"/>
                <w:sz w:val="22"/>
                <w:szCs w:val="22"/>
                <w:shd w:val="clear" w:color="auto" w:fill="FFFFFF"/>
                <w:vertAlign w:val="superscript"/>
              </w:rPr>
              <w:t>17</w:t>
            </w:r>
            <w:r w:rsidRPr="000B4080">
              <w:rPr>
                <w:rFonts w:ascii="Arial" w:hAnsi="Arial" w:cs="Arial"/>
                <w:color w:val="000000" w:themeColor="text1"/>
                <w:sz w:val="22"/>
                <w:szCs w:val="22"/>
                <w:shd w:val="clear" w:color="auto" w:fill="FFFFFF"/>
              </w:rPr>
              <w:t>, Gregory Keir</w:t>
            </w:r>
            <w:r w:rsidRPr="000B4080">
              <w:rPr>
                <w:rFonts w:ascii="Arial" w:hAnsi="Arial" w:cs="Arial"/>
                <w:color w:val="000000" w:themeColor="text1"/>
                <w:sz w:val="22"/>
                <w:szCs w:val="22"/>
                <w:shd w:val="clear" w:color="auto" w:fill="FFFFFF"/>
                <w:vertAlign w:val="superscript"/>
              </w:rPr>
              <w:t>18</w:t>
            </w:r>
            <w:r w:rsidRPr="000B4080">
              <w:rPr>
                <w:rFonts w:ascii="Arial" w:hAnsi="Arial" w:cs="Arial"/>
                <w:color w:val="000000" w:themeColor="text1"/>
                <w:sz w:val="22"/>
                <w:szCs w:val="22"/>
                <w:shd w:val="clear" w:color="auto" w:fill="FFFFFF"/>
              </w:rPr>
              <w:t>, Chong Ong</w:t>
            </w:r>
            <w:r w:rsidRPr="000B4080">
              <w:rPr>
                <w:rFonts w:ascii="Arial" w:hAnsi="Arial" w:cs="Arial"/>
                <w:color w:val="000000" w:themeColor="text1"/>
                <w:sz w:val="22"/>
                <w:szCs w:val="22"/>
                <w:shd w:val="clear" w:color="auto" w:fill="FFFFFF"/>
                <w:vertAlign w:val="superscript"/>
              </w:rPr>
              <w:t>19</w:t>
            </w:r>
            <w:r w:rsidRPr="000B4080">
              <w:rPr>
                <w:rFonts w:ascii="Arial" w:hAnsi="Arial" w:cs="Arial"/>
                <w:color w:val="000000" w:themeColor="text1"/>
                <w:sz w:val="22"/>
                <w:szCs w:val="22"/>
                <w:shd w:val="clear" w:color="auto" w:fill="FFFFFF"/>
              </w:rPr>
              <w:t>, Paul Reynolds</w:t>
            </w:r>
            <w:r w:rsidRPr="000B4080">
              <w:rPr>
                <w:rFonts w:ascii="Arial" w:hAnsi="Arial" w:cs="Arial"/>
                <w:color w:val="000000" w:themeColor="text1"/>
                <w:sz w:val="22"/>
                <w:szCs w:val="22"/>
                <w:shd w:val="clear" w:color="auto" w:fill="FFFFFF"/>
                <w:vertAlign w:val="superscript"/>
              </w:rPr>
              <w:t>20</w:t>
            </w:r>
            <w:r w:rsidRPr="000B4080">
              <w:rPr>
                <w:rFonts w:ascii="Arial" w:hAnsi="Arial" w:cs="Arial"/>
                <w:color w:val="000000" w:themeColor="text1"/>
                <w:sz w:val="22"/>
                <w:szCs w:val="22"/>
                <w:shd w:val="clear" w:color="auto" w:fill="FFFFFF"/>
              </w:rPr>
              <w:t>, Elizabeth Veitch</w:t>
            </w:r>
            <w:r w:rsidRPr="000B4080">
              <w:rPr>
                <w:rFonts w:ascii="Arial" w:hAnsi="Arial" w:cs="Arial"/>
                <w:color w:val="000000" w:themeColor="text1"/>
                <w:sz w:val="22"/>
                <w:szCs w:val="22"/>
                <w:shd w:val="clear" w:color="auto" w:fill="FFFFFF"/>
                <w:vertAlign w:val="superscript"/>
              </w:rPr>
              <w:t>21</w:t>
            </w:r>
            <w:r w:rsidRPr="000B4080">
              <w:rPr>
                <w:rFonts w:ascii="Arial" w:hAnsi="Arial" w:cs="Arial"/>
                <w:color w:val="000000" w:themeColor="text1"/>
                <w:sz w:val="22"/>
                <w:szCs w:val="22"/>
                <w:shd w:val="clear" w:color="auto" w:fill="FFFFFF"/>
              </w:rPr>
              <w:t xml:space="preserve">, Gin </w:t>
            </w:r>
            <w:proofErr w:type="spellStart"/>
            <w:r w:rsidRPr="000B4080">
              <w:rPr>
                <w:rFonts w:ascii="Arial" w:hAnsi="Arial" w:cs="Arial"/>
                <w:color w:val="000000" w:themeColor="text1"/>
                <w:sz w:val="22"/>
                <w:szCs w:val="22"/>
                <w:shd w:val="clear" w:color="auto" w:fill="FFFFFF"/>
              </w:rPr>
              <w:t>Tsen</w:t>
            </w:r>
            <w:proofErr w:type="spellEnd"/>
            <w:r w:rsidRPr="000B4080">
              <w:rPr>
                <w:rFonts w:ascii="Arial" w:hAnsi="Arial" w:cs="Arial"/>
                <w:color w:val="000000" w:themeColor="text1"/>
                <w:sz w:val="22"/>
                <w:szCs w:val="22"/>
                <w:shd w:val="clear" w:color="auto" w:fill="FFFFFF"/>
              </w:rPr>
              <w:t xml:space="preserve"> Chai</w:t>
            </w:r>
            <w:r w:rsidRPr="000B4080">
              <w:rPr>
                <w:rFonts w:ascii="Arial" w:hAnsi="Arial" w:cs="Arial"/>
                <w:color w:val="000000" w:themeColor="text1"/>
                <w:sz w:val="22"/>
                <w:szCs w:val="22"/>
                <w:shd w:val="clear" w:color="auto" w:fill="FFFFFF"/>
                <w:vertAlign w:val="superscript"/>
              </w:rPr>
              <w:t>2</w:t>
            </w:r>
            <w:r w:rsidRPr="000B4080">
              <w:rPr>
                <w:rFonts w:ascii="Arial" w:hAnsi="Arial" w:cs="Arial"/>
                <w:color w:val="000000" w:themeColor="text1"/>
                <w:sz w:val="22"/>
                <w:szCs w:val="22"/>
                <w:shd w:val="clear" w:color="auto" w:fill="FFFFFF"/>
              </w:rPr>
              <w:t xml:space="preserve">, </w:t>
            </w:r>
            <w:proofErr w:type="spellStart"/>
            <w:r w:rsidRPr="000B4080">
              <w:rPr>
                <w:rFonts w:ascii="Arial" w:hAnsi="Arial" w:cs="Arial"/>
                <w:color w:val="000000" w:themeColor="text1"/>
                <w:sz w:val="22"/>
                <w:szCs w:val="22"/>
                <w:shd w:val="clear" w:color="auto" w:fill="FFFFFF"/>
              </w:rPr>
              <w:t>Ziqin</w:t>
            </w:r>
            <w:proofErr w:type="spellEnd"/>
            <w:r w:rsidRPr="000B4080">
              <w:rPr>
                <w:rFonts w:ascii="Arial" w:hAnsi="Arial" w:cs="Arial"/>
                <w:color w:val="000000" w:themeColor="text1"/>
                <w:sz w:val="22"/>
                <w:szCs w:val="22"/>
                <w:shd w:val="clear" w:color="auto" w:fill="FFFFFF"/>
              </w:rPr>
              <w:t xml:space="preserve"> Ng</w:t>
            </w:r>
            <w:r w:rsidRPr="000B4080">
              <w:rPr>
                <w:rFonts w:ascii="Arial" w:hAnsi="Arial" w:cs="Arial"/>
                <w:color w:val="000000" w:themeColor="text1"/>
                <w:sz w:val="22"/>
                <w:szCs w:val="22"/>
                <w:shd w:val="clear" w:color="auto" w:fill="FFFFFF"/>
                <w:vertAlign w:val="superscript"/>
              </w:rPr>
              <w:t>2</w:t>
            </w:r>
            <w:r w:rsidRPr="000B4080">
              <w:rPr>
                <w:rFonts w:ascii="Arial" w:hAnsi="Arial" w:cs="Arial"/>
                <w:color w:val="000000" w:themeColor="text1"/>
                <w:sz w:val="22"/>
                <w:szCs w:val="22"/>
                <w:shd w:val="clear" w:color="auto" w:fill="FFFFFF"/>
              </w:rPr>
              <w:t xml:space="preserve">, </w:t>
            </w:r>
            <w:proofErr w:type="spellStart"/>
            <w:r w:rsidRPr="000B4080">
              <w:rPr>
                <w:rFonts w:ascii="Arial" w:hAnsi="Arial" w:cs="Arial"/>
                <w:color w:val="000000" w:themeColor="text1"/>
                <w:sz w:val="22"/>
                <w:szCs w:val="22"/>
                <w:shd w:val="clear" w:color="auto" w:fill="FFFFFF"/>
              </w:rPr>
              <w:t>Geak</w:t>
            </w:r>
            <w:proofErr w:type="spellEnd"/>
            <w:r w:rsidRPr="000B4080">
              <w:rPr>
                <w:rFonts w:ascii="Arial" w:hAnsi="Arial" w:cs="Arial"/>
                <w:color w:val="000000" w:themeColor="text1"/>
                <w:sz w:val="22"/>
                <w:szCs w:val="22"/>
                <w:shd w:val="clear" w:color="auto" w:fill="FFFFFF"/>
              </w:rPr>
              <w:t xml:space="preserve"> </w:t>
            </w:r>
            <w:proofErr w:type="spellStart"/>
            <w:r w:rsidRPr="000B4080">
              <w:rPr>
                <w:rFonts w:ascii="Arial" w:hAnsi="Arial" w:cs="Arial"/>
                <w:color w:val="000000" w:themeColor="text1"/>
                <w:sz w:val="22"/>
                <w:szCs w:val="22"/>
                <w:shd w:val="clear" w:color="auto" w:fill="FFFFFF"/>
              </w:rPr>
              <w:t>Poh</w:t>
            </w:r>
            <w:proofErr w:type="spellEnd"/>
            <w:r w:rsidRPr="000B4080">
              <w:rPr>
                <w:rFonts w:ascii="Arial" w:hAnsi="Arial" w:cs="Arial"/>
                <w:color w:val="000000" w:themeColor="text1"/>
                <w:sz w:val="22"/>
                <w:szCs w:val="22"/>
                <w:shd w:val="clear" w:color="auto" w:fill="FFFFFF"/>
              </w:rPr>
              <w:t xml:space="preserve"> Tan</w:t>
            </w:r>
            <w:r w:rsidRPr="000B4080">
              <w:rPr>
                <w:rFonts w:ascii="Arial" w:hAnsi="Arial" w:cs="Arial"/>
                <w:color w:val="000000" w:themeColor="text1"/>
                <w:sz w:val="22"/>
                <w:szCs w:val="22"/>
                <w:shd w:val="clear" w:color="auto" w:fill="FFFFFF"/>
                <w:vertAlign w:val="superscript"/>
              </w:rPr>
              <w:t>2</w:t>
            </w:r>
            <w:r w:rsidRPr="000B4080">
              <w:rPr>
                <w:rFonts w:ascii="Arial" w:hAnsi="Arial" w:cs="Arial"/>
                <w:color w:val="000000" w:themeColor="text1"/>
                <w:sz w:val="22"/>
                <w:szCs w:val="22"/>
                <w:shd w:val="clear" w:color="auto" w:fill="FFFFFF"/>
              </w:rPr>
              <w:t>, Dan Jackson</w:t>
            </w:r>
            <w:r w:rsidRPr="000B4080">
              <w:rPr>
                <w:rFonts w:ascii="Arial" w:hAnsi="Arial" w:cs="Arial"/>
                <w:color w:val="000000" w:themeColor="text1"/>
                <w:sz w:val="22"/>
                <w:szCs w:val="22"/>
                <w:shd w:val="clear" w:color="auto" w:fill="FFFFFF"/>
                <w:vertAlign w:val="superscript"/>
              </w:rPr>
              <w:t>5</w:t>
            </w:r>
            <w:r w:rsidRPr="000B4080">
              <w:rPr>
                <w:rFonts w:ascii="Arial" w:hAnsi="Arial" w:cs="Arial"/>
                <w:color w:val="000000" w:themeColor="text1"/>
                <w:sz w:val="22"/>
                <w:szCs w:val="22"/>
                <w:shd w:val="clear" w:color="auto" w:fill="FFFFFF"/>
              </w:rPr>
              <w:t>, *Tamera Corte</w:t>
            </w:r>
            <w:r w:rsidRPr="000B4080">
              <w:rPr>
                <w:rFonts w:ascii="Arial" w:hAnsi="Arial" w:cs="Arial"/>
                <w:color w:val="000000" w:themeColor="text1"/>
                <w:sz w:val="22"/>
                <w:szCs w:val="22"/>
                <w:shd w:val="clear" w:color="auto" w:fill="FFFFFF"/>
                <w:vertAlign w:val="superscript"/>
              </w:rPr>
              <w:t>3,5</w:t>
            </w:r>
            <w:r w:rsidRPr="000B4080">
              <w:rPr>
                <w:rFonts w:ascii="Arial" w:hAnsi="Arial" w:cs="Arial"/>
                <w:color w:val="000000" w:themeColor="text1"/>
                <w:sz w:val="22"/>
                <w:szCs w:val="22"/>
                <w:shd w:val="clear" w:color="auto" w:fill="FFFFFF"/>
              </w:rPr>
              <w:t>, *Helen Jo</w:t>
            </w:r>
            <w:r w:rsidRPr="000B4080">
              <w:rPr>
                <w:rFonts w:ascii="Arial" w:hAnsi="Arial" w:cs="Arial"/>
                <w:color w:val="000000" w:themeColor="text1"/>
                <w:sz w:val="22"/>
                <w:szCs w:val="22"/>
                <w:shd w:val="clear" w:color="auto" w:fill="FFFFFF"/>
                <w:vertAlign w:val="superscript"/>
              </w:rPr>
              <w:t>3,5</w:t>
            </w:r>
          </w:p>
        </w:tc>
      </w:tr>
      <w:tr w:rsidR="00095262" w:rsidRPr="0050053A" w14:paraId="385A19D9" w14:textId="77777777" w:rsidTr="000A28E2">
        <w:trPr>
          <w:trHeight w:val="136"/>
          <w:jc w:val="center"/>
        </w:trPr>
        <w:tc>
          <w:tcPr>
            <w:tcW w:w="8640" w:type="dxa"/>
            <w:shd w:val="clear" w:color="auto" w:fill="auto"/>
          </w:tcPr>
          <w:p w14:paraId="45ED36BF" w14:textId="743B6356" w:rsidR="00095262" w:rsidRPr="0050053A" w:rsidRDefault="00095262" w:rsidP="00095262">
            <w:pPr>
              <w:spacing w:before="120" w:after="120"/>
              <w:rPr>
                <w:rFonts w:ascii="Arial" w:hAnsi="Arial" w:cs="Arial"/>
                <w:i/>
                <w:sz w:val="22"/>
                <w:szCs w:val="22"/>
                <w:lang w:val="en-US" w:eastAsia="en-GB"/>
              </w:rPr>
            </w:pPr>
            <w:r w:rsidRPr="000B4080">
              <w:rPr>
                <w:rFonts w:ascii="Arial" w:hAnsi="Arial" w:cs="Arial"/>
                <w:color w:val="000000" w:themeColor="text1"/>
                <w:sz w:val="22"/>
                <w:szCs w:val="22"/>
                <w:shd w:val="clear" w:color="auto" w:fill="FFFFFF"/>
                <w:vertAlign w:val="superscript"/>
                <w:lang w:val="en-US"/>
              </w:rPr>
              <w:t>1</w:t>
            </w:r>
            <w:r w:rsidRPr="000B4080">
              <w:rPr>
                <w:rFonts w:ascii="Arial" w:hAnsi="Arial" w:cs="Arial"/>
                <w:color w:val="000000" w:themeColor="text1"/>
                <w:sz w:val="22"/>
                <w:szCs w:val="22"/>
                <w:shd w:val="clear" w:color="auto" w:fill="FFFFFF"/>
                <w:lang w:val="en-US"/>
              </w:rPr>
              <w:t>Woodlands Health,</w:t>
            </w:r>
            <w:r w:rsidRPr="000B4080">
              <w:rPr>
                <w:rFonts w:ascii="Arial" w:hAnsi="Arial" w:cs="Arial"/>
                <w:color w:val="000000" w:themeColor="text1"/>
                <w:sz w:val="22"/>
                <w:szCs w:val="22"/>
                <w:shd w:val="clear" w:color="auto" w:fill="FFFFFF"/>
                <w:vertAlign w:val="superscript"/>
                <w:lang w:val="en-US"/>
              </w:rPr>
              <w:t xml:space="preserve"> 2</w:t>
            </w:r>
            <w:r w:rsidRPr="000B4080">
              <w:rPr>
                <w:rFonts w:ascii="Arial" w:hAnsi="Arial" w:cs="Arial"/>
                <w:color w:val="000000" w:themeColor="text1"/>
                <w:sz w:val="22"/>
                <w:szCs w:val="22"/>
                <w:shd w:val="clear" w:color="auto" w:fill="FFFFFF"/>
                <w:lang w:val="en-US"/>
              </w:rPr>
              <w:t xml:space="preserve">Tan Tock Seng Hospital, </w:t>
            </w:r>
            <w:r w:rsidRPr="000B4080">
              <w:rPr>
                <w:rFonts w:ascii="Arial" w:hAnsi="Arial" w:cs="Arial"/>
                <w:color w:val="000000" w:themeColor="text1"/>
                <w:sz w:val="22"/>
                <w:szCs w:val="22"/>
                <w:shd w:val="clear" w:color="auto" w:fill="FFFFFF"/>
                <w:vertAlign w:val="superscript"/>
                <w:lang w:val="en-US"/>
              </w:rPr>
              <w:t>3</w:t>
            </w:r>
            <w:r w:rsidRPr="000B4080">
              <w:rPr>
                <w:rFonts w:ascii="Arial" w:hAnsi="Arial" w:cs="Arial"/>
                <w:color w:val="000000" w:themeColor="text1"/>
                <w:sz w:val="22"/>
                <w:szCs w:val="22"/>
                <w:shd w:val="clear" w:color="auto" w:fill="FFFFFF"/>
                <w:lang w:val="en-US"/>
              </w:rPr>
              <w:t xml:space="preserve">Royal Prince Alfred Hospital, </w:t>
            </w:r>
            <w:r w:rsidRPr="000B4080">
              <w:rPr>
                <w:rFonts w:ascii="Arial" w:hAnsi="Arial" w:cs="Arial"/>
                <w:color w:val="000000" w:themeColor="text1"/>
                <w:sz w:val="22"/>
                <w:szCs w:val="22"/>
                <w:shd w:val="clear" w:color="auto" w:fill="FFFFFF"/>
                <w:vertAlign w:val="superscript"/>
                <w:lang w:val="en-US"/>
              </w:rPr>
              <w:t>4</w:t>
            </w:r>
            <w:r w:rsidRPr="000B4080">
              <w:rPr>
                <w:rFonts w:ascii="Arial" w:hAnsi="Arial" w:cs="Arial"/>
                <w:color w:val="000000" w:themeColor="text1"/>
                <w:sz w:val="22"/>
                <w:szCs w:val="22"/>
                <w:shd w:val="clear" w:color="auto" w:fill="FFFFFF"/>
                <w:lang w:val="en-US"/>
              </w:rPr>
              <w:t xml:space="preserve">Westmead Hospital, </w:t>
            </w:r>
            <w:r w:rsidRPr="000B4080">
              <w:rPr>
                <w:rFonts w:ascii="Arial" w:hAnsi="Arial" w:cs="Arial"/>
                <w:color w:val="000000" w:themeColor="text1"/>
                <w:sz w:val="22"/>
                <w:szCs w:val="22"/>
                <w:shd w:val="clear" w:color="auto" w:fill="FFFFFF"/>
                <w:vertAlign w:val="superscript"/>
                <w:lang w:val="en-US"/>
              </w:rPr>
              <w:t>5</w:t>
            </w:r>
            <w:r w:rsidRPr="000B4080">
              <w:rPr>
                <w:rFonts w:ascii="Arial" w:hAnsi="Arial" w:cs="Arial"/>
                <w:color w:val="000000" w:themeColor="text1"/>
                <w:sz w:val="22"/>
                <w:szCs w:val="22"/>
                <w:shd w:val="clear" w:color="auto" w:fill="FFFFFF"/>
                <w:lang w:val="en-US"/>
              </w:rPr>
              <w:t xml:space="preserve">Sydney Medical School, University of Sydney, Australia, </w:t>
            </w:r>
            <w:r w:rsidRPr="000B4080">
              <w:rPr>
                <w:rFonts w:ascii="Arial" w:hAnsi="Arial" w:cs="Arial"/>
                <w:color w:val="000000" w:themeColor="text1"/>
                <w:sz w:val="22"/>
                <w:szCs w:val="22"/>
                <w:shd w:val="clear" w:color="auto" w:fill="FFFFFF"/>
                <w:vertAlign w:val="superscript"/>
                <w:lang w:val="en-US"/>
              </w:rPr>
              <w:t>6</w:t>
            </w:r>
            <w:r w:rsidRPr="000B4080">
              <w:rPr>
                <w:rFonts w:ascii="Arial" w:hAnsi="Arial" w:cs="Arial"/>
                <w:color w:val="000000" w:themeColor="text1"/>
                <w:sz w:val="22"/>
                <w:szCs w:val="22"/>
                <w:shd w:val="clear" w:color="auto" w:fill="FFFFFF"/>
                <w:lang w:val="en-US"/>
              </w:rPr>
              <w:t xml:space="preserve">Alfred Hospital, </w:t>
            </w:r>
            <w:r w:rsidRPr="000B4080">
              <w:rPr>
                <w:rFonts w:ascii="Arial" w:hAnsi="Arial" w:cs="Arial"/>
                <w:color w:val="000000" w:themeColor="text1"/>
                <w:sz w:val="22"/>
                <w:szCs w:val="22"/>
                <w:shd w:val="clear" w:color="auto" w:fill="FFFFFF"/>
                <w:vertAlign w:val="superscript"/>
                <w:lang w:val="en-US"/>
              </w:rPr>
              <w:t>7</w:t>
            </w:r>
            <w:r w:rsidRPr="000B4080">
              <w:rPr>
                <w:rFonts w:ascii="Arial" w:hAnsi="Arial" w:cs="Arial"/>
                <w:color w:val="000000" w:themeColor="text1"/>
                <w:sz w:val="22"/>
                <w:szCs w:val="22"/>
                <w:shd w:val="clear" w:color="auto" w:fill="FFFFFF"/>
                <w:lang w:val="en-US"/>
              </w:rPr>
              <w:t>Auckland City Hospital, </w:t>
            </w:r>
            <w:r w:rsidRPr="000B4080">
              <w:rPr>
                <w:rFonts w:ascii="Arial" w:hAnsi="Arial" w:cs="Arial"/>
                <w:color w:val="000000" w:themeColor="text1"/>
                <w:sz w:val="22"/>
                <w:szCs w:val="22"/>
                <w:shd w:val="clear" w:color="auto" w:fill="FFFFFF"/>
                <w:vertAlign w:val="superscript"/>
                <w:lang w:val="en-US"/>
              </w:rPr>
              <w:t>8</w:t>
            </w:r>
            <w:r w:rsidRPr="000B4080">
              <w:rPr>
                <w:rFonts w:ascii="Arial" w:hAnsi="Arial" w:cs="Arial"/>
                <w:color w:val="000000" w:themeColor="text1"/>
                <w:sz w:val="22"/>
                <w:szCs w:val="22"/>
                <w:shd w:val="clear" w:color="auto" w:fill="FFFFFF"/>
                <w:lang w:val="en-US"/>
              </w:rPr>
              <w:t xml:space="preserve">Fiona Stanley Hospital, </w:t>
            </w:r>
            <w:r w:rsidRPr="000B4080">
              <w:rPr>
                <w:rFonts w:ascii="Arial" w:hAnsi="Arial" w:cs="Arial"/>
                <w:color w:val="000000" w:themeColor="text1"/>
                <w:sz w:val="22"/>
                <w:szCs w:val="22"/>
                <w:shd w:val="clear" w:color="auto" w:fill="FFFFFF"/>
                <w:vertAlign w:val="superscript"/>
                <w:lang w:val="en-US"/>
              </w:rPr>
              <w:t>9</w:t>
            </w:r>
            <w:r w:rsidRPr="000B4080">
              <w:rPr>
                <w:rFonts w:ascii="Arial" w:hAnsi="Arial" w:cs="Arial"/>
                <w:color w:val="000000" w:themeColor="text1"/>
                <w:sz w:val="22"/>
                <w:szCs w:val="22"/>
                <w:shd w:val="clear" w:color="auto" w:fill="FFFFFF"/>
                <w:lang w:val="en-US"/>
              </w:rPr>
              <w:t>Department of Medicine, university of Notre Dame Australia, Fremantle,</w:t>
            </w:r>
            <w:r w:rsidRPr="000B4080">
              <w:rPr>
                <w:rFonts w:ascii="Arial" w:hAnsi="Arial" w:cs="Arial"/>
                <w:color w:val="000000" w:themeColor="text1"/>
                <w:sz w:val="22"/>
                <w:szCs w:val="22"/>
                <w:shd w:val="clear" w:color="auto" w:fill="FFFFFF"/>
                <w:vertAlign w:val="superscript"/>
                <w:lang w:val="en-US"/>
              </w:rPr>
              <w:t xml:space="preserve"> 10</w:t>
            </w:r>
            <w:r w:rsidRPr="000B4080">
              <w:rPr>
                <w:rFonts w:ascii="Arial" w:hAnsi="Arial" w:cs="Arial"/>
                <w:color w:val="000000" w:themeColor="text1"/>
                <w:sz w:val="22"/>
                <w:szCs w:val="22"/>
                <w:shd w:val="clear" w:color="auto" w:fill="FFFFFF"/>
                <w:lang w:val="en-US"/>
              </w:rPr>
              <w:t>Eastern Health Box Hill Hospital, </w:t>
            </w:r>
            <w:r w:rsidRPr="000B4080">
              <w:rPr>
                <w:rFonts w:ascii="Arial" w:hAnsi="Arial" w:cs="Arial"/>
                <w:color w:val="000000" w:themeColor="text1"/>
                <w:sz w:val="22"/>
                <w:szCs w:val="22"/>
                <w:shd w:val="clear" w:color="auto" w:fill="FFFFFF"/>
                <w:vertAlign w:val="superscript"/>
                <w:lang w:val="en-US"/>
              </w:rPr>
              <w:t>11</w:t>
            </w:r>
            <w:r w:rsidRPr="000B4080">
              <w:rPr>
                <w:rFonts w:ascii="Arial" w:hAnsi="Arial" w:cs="Arial"/>
                <w:color w:val="000000" w:themeColor="text1"/>
                <w:sz w:val="22"/>
                <w:szCs w:val="22"/>
                <w:shd w:val="clear" w:color="auto" w:fill="FFFFFF"/>
                <w:lang w:val="en-US"/>
              </w:rPr>
              <w:t>Waikato Hospital, </w:t>
            </w:r>
            <w:r w:rsidRPr="000B4080">
              <w:rPr>
                <w:rFonts w:ascii="Arial" w:hAnsi="Arial" w:cs="Arial"/>
                <w:color w:val="000000" w:themeColor="text1"/>
                <w:sz w:val="22"/>
                <w:szCs w:val="22"/>
                <w:shd w:val="clear" w:color="auto" w:fill="FFFFFF"/>
                <w:vertAlign w:val="superscript"/>
                <w:lang w:val="en-US"/>
              </w:rPr>
              <w:t>12</w:t>
            </w:r>
            <w:r w:rsidRPr="000B4080">
              <w:rPr>
                <w:rFonts w:ascii="Arial" w:hAnsi="Arial" w:cs="Arial"/>
                <w:color w:val="000000" w:themeColor="text1"/>
                <w:sz w:val="22"/>
                <w:szCs w:val="22"/>
                <w:shd w:val="clear" w:color="auto" w:fill="FFFFFF"/>
                <w:lang w:val="en-US"/>
              </w:rPr>
              <w:t>The Prince Charles Hospital, </w:t>
            </w:r>
            <w:r w:rsidRPr="000B4080">
              <w:rPr>
                <w:rFonts w:ascii="Arial" w:hAnsi="Arial" w:cs="Arial"/>
                <w:color w:val="000000" w:themeColor="text1"/>
                <w:sz w:val="22"/>
                <w:szCs w:val="22"/>
                <w:shd w:val="clear" w:color="auto" w:fill="FFFFFF"/>
                <w:vertAlign w:val="superscript"/>
                <w:lang w:val="en-US"/>
              </w:rPr>
              <w:t>13</w:t>
            </w:r>
            <w:r w:rsidRPr="000B4080">
              <w:rPr>
                <w:rFonts w:ascii="Arial" w:hAnsi="Arial" w:cs="Arial"/>
                <w:color w:val="000000" w:themeColor="text1"/>
                <w:sz w:val="22"/>
                <w:szCs w:val="22"/>
                <w:shd w:val="clear" w:color="auto" w:fill="FFFFFF"/>
                <w:lang w:val="en-US"/>
              </w:rPr>
              <w:t>The Austin Hospital, </w:t>
            </w:r>
            <w:r w:rsidRPr="000B4080">
              <w:rPr>
                <w:rFonts w:ascii="Arial" w:hAnsi="Arial" w:cs="Arial"/>
                <w:color w:val="000000" w:themeColor="text1"/>
                <w:sz w:val="22"/>
                <w:szCs w:val="22"/>
                <w:shd w:val="clear" w:color="auto" w:fill="FFFFFF"/>
                <w:vertAlign w:val="superscript"/>
                <w:lang w:val="en-US"/>
              </w:rPr>
              <w:t>14</w:t>
            </w:r>
            <w:r w:rsidRPr="000B4080">
              <w:rPr>
                <w:rFonts w:ascii="Arial" w:hAnsi="Arial" w:cs="Arial"/>
                <w:color w:val="000000" w:themeColor="text1"/>
                <w:sz w:val="22"/>
                <w:szCs w:val="22"/>
                <w:shd w:val="clear" w:color="auto" w:fill="FFFFFF"/>
                <w:lang w:val="en-US"/>
              </w:rPr>
              <w:t>Christchurch Hospital,</w:t>
            </w:r>
            <w:r w:rsidRPr="000B4080">
              <w:rPr>
                <w:rFonts w:ascii="Arial" w:hAnsi="Arial" w:cs="Arial"/>
                <w:color w:val="000000" w:themeColor="text1"/>
                <w:sz w:val="22"/>
                <w:szCs w:val="22"/>
                <w:shd w:val="clear" w:color="auto" w:fill="FFFFFF"/>
                <w:vertAlign w:val="superscript"/>
                <w:lang w:val="en-US"/>
              </w:rPr>
              <w:t xml:space="preserve"> 15</w:t>
            </w:r>
            <w:r w:rsidRPr="000B4080">
              <w:rPr>
                <w:rFonts w:ascii="Arial" w:hAnsi="Arial" w:cs="Arial"/>
                <w:color w:val="000000" w:themeColor="text1"/>
                <w:sz w:val="22"/>
                <w:szCs w:val="22"/>
                <w:shd w:val="clear" w:color="auto" w:fill="FFFFFF"/>
                <w:lang w:val="en-US"/>
              </w:rPr>
              <w:t>Queen Elizabeth Hospital, </w:t>
            </w:r>
            <w:r w:rsidRPr="000B4080">
              <w:rPr>
                <w:rFonts w:ascii="Arial" w:hAnsi="Arial" w:cs="Arial"/>
                <w:color w:val="000000" w:themeColor="text1"/>
                <w:sz w:val="22"/>
                <w:szCs w:val="22"/>
                <w:shd w:val="clear" w:color="auto" w:fill="FFFFFF"/>
                <w:vertAlign w:val="superscript"/>
                <w:lang w:val="en-US"/>
              </w:rPr>
              <w:t>16</w:t>
            </w:r>
            <w:r w:rsidRPr="000B4080">
              <w:rPr>
                <w:rFonts w:ascii="Arial" w:hAnsi="Arial" w:cs="Arial"/>
                <w:color w:val="000000" w:themeColor="text1"/>
                <w:sz w:val="22"/>
                <w:szCs w:val="22"/>
                <w:shd w:val="clear" w:color="auto" w:fill="FFFFFF"/>
                <w:lang w:val="en-US"/>
              </w:rPr>
              <w:t>John Hunter Hospital, </w:t>
            </w:r>
            <w:r w:rsidRPr="000B4080">
              <w:rPr>
                <w:rFonts w:ascii="Arial" w:hAnsi="Arial" w:cs="Arial"/>
                <w:color w:val="000000" w:themeColor="text1"/>
                <w:sz w:val="22"/>
                <w:szCs w:val="22"/>
                <w:shd w:val="clear" w:color="auto" w:fill="FFFFFF"/>
                <w:vertAlign w:val="superscript"/>
                <w:lang w:val="en-US"/>
              </w:rPr>
              <w:t>17</w:t>
            </w:r>
            <w:r w:rsidRPr="000B4080">
              <w:rPr>
                <w:rFonts w:ascii="Arial" w:hAnsi="Arial" w:cs="Arial"/>
                <w:color w:val="000000" w:themeColor="text1"/>
                <w:sz w:val="22"/>
                <w:szCs w:val="22"/>
                <w:shd w:val="clear" w:color="auto" w:fill="FFFFFF"/>
                <w:lang w:val="en-US"/>
              </w:rPr>
              <w:t>Sutherland Hospital, </w:t>
            </w:r>
            <w:r w:rsidRPr="000B4080">
              <w:rPr>
                <w:rFonts w:ascii="Arial" w:hAnsi="Arial" w:cs="Arial"/>
                <w:color w:val="000000" w:themeColor="text1"/>
                <w:sz w:val="22"/>
                <w:szCs w:val="22"/>
                <w:shd w:val="clear" w:color="auto" w:fill="FFFFFF"/>
                <w:vertAlign w:val="superscript"/>
                <w:lang w:val="en-US"/>
              </w:rPr>
              <w:t>18</w:t>
            </w:r>
            <w:r w:rsidRPr="000B4080">
              <w:rPr>
                <w:rFonts w:ascii="Arial" w:hAnsi="Arial" w:cs="Arial"/>
                <w:color w:val="000000" w:themeColor="text1"/>
                <w:sz w:val="22"/>
                <w:szCs w:val="22"/>
                <w:shd w:val="clear" w:color="auto" w:fill="FFFFFF"/>
                <w:lang w:val="en-US"/>
              </w:rPr>
              <w:t>Princess Alexandra Hospital, </w:t>
            </w:r>
            <w:r w:rsidRPr="000B4080">
              <w:rPr>
                <w:rFonts w:ascii="Arial" w:hAnsi="Arial" w:cs="Arial"/>
                <w:color w:val="000000" w:themeColor="text1"/>
                <w:sz w:val="22"/>
                <w:szCs w:val="22"/>
                <w:shd w:val="clear" w:color="auto" w:fill="FFFFFF"/>
                <w:vertAlign w:val="superscript"/>
                <w:lang w:val="en-US"/>
              </w:rPr>
              <w:t>19</w:t>
            </w:r>
            <w:r w:rsidRPr="000B4080">
              <w:rPr>
                <w:rFonts w:ascii="Arial" w:hAnsi="Arial" w:cs="Arial"/>
                <w:color w:val="000000" w:themeColor="text1"/>
                <w:sz w:val="22"/>
                <w:szCs w:val="22"/>
                <w:shd w:val="clear" w:color="auto" w:fill="FFFFFF"/>
                <w:lang w:val="en-US"/>
              </w:rPr>
              <w:t>St Vincent’s Hospital Melbourne, </w:t>
            </w:r>
            <w:r w:rsidRPr="000B4080">
              <w:rPr>
                <w:rFonts w:ascii="Arial" w:hAnsi="Arial" w:cs="Arial"/>
                <w:color w:val="000000" w:themeColor="text1"/>
                <w:sz w:val="22"/>
                <w:szCs w:val="22"/>
                <w:shd w:val="clear" w:color="auto" w:fill="FFFFFF"/>
                <w:vertAlign w:val="superscript"/>
                <w:lang w:val="en-US"/>
              </w:rPr>
              <w:t>20</w:t>
            </w:r>
            <w:r w:rsidRPr="000B4080">
              <w:rPr>
                <w:rFonts w:ascii="Arial" w:hAnsi="Arial" w:cs="Arial"/>
                <w:color w:val="000000" w:themeColor="text1"/>
                <w:sz w:val="22"/>
                <w:szCs w:val="22"/>
                <w:shd w:val="clear" w:color="auto" w:fill="FFFFFF"/>
                <w:lang w:val="en-US"/>
              </w:rPr>
              <w:t xml:space="preserve">Royal Adelaide Hospital, </w:t>
            </w:r>
            <w:r w:rsidRPr="000B4080">
              <w:rPr>
                <w:rFonts w:ascii="Arial" w:hAnsi="Arial" w:cs="Arial"/>
                <w:color w:val="000000" w:themeColor="text1"/>
                <w:sz w:val="22"/>
                <w:szCs w:val="22"/>
                <w:shd w:val="clear" w:color="auto" w:fill="FFFFFF"/>
                <w:vertAlign w:val="superscript"/>
                <w:lang w:val="en-US"/>
              </w:rPr>
              <w:t>21</w:t>
            </w:r>
            <w:r w:rsidRPr="000B4080">
              <w:rPr>
                <w:rFonts w:ascii="Arial" w:hAnsi="Arial" w:cs="Arial"/>
                <w:color w:val="000000" w:themeColor="text1"/>
                <w:sz w:val="22"/>
                <w:szCs w:val="22"/>
                <w:shd w:val="clear" w:color="auto" w:fill="FFFFFF"/>
                <w:lang w:val="en-US"/>
              </w:rPr>
              <w:t>Concord Hospital</w:t>
            </w:r>
          </w:p>
        </w:tc>
      </w:tr>
      <w:tr w:rsidR="001564A4" w:rsidRPr="0050053A" w14:paraId="6DAF615A" w14:textId="77777777" w:rsidTr="000A28E2">
        <w:trPr>
          <w:trHeight w:hRule="exact" w:val="7352"/>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7BBA2207" w:rsidR="001564A4" w:rsidRPr="00137DDB" w:rsidRDefault="00137DDB" w:rsidP="000A28E2">
            <w:pPr>
              <w:pStyle w:val="Pa12"/>
              <w:rPr>
                <w:rStyle w:val="A4"/>
                <w:color w:val="auto"/>
              </w:rPr>
            </w:pPr>
            <w:r w:rsidRPr="000B4080">
              <w:rPr>
                <w:sz w:val="22"/>
                <w:szCs w:val="22"/>
                <w:lang w:val="en-US"/>
              </w:rPr>
              <w:t>Lung function testing remains a cornerstone in the assessment and management of patients with interstitial lung disease (ILD). The clinical impact of the new guidelines for lung function interpretation using the Global Lung function Initiative (GLI) reference equations remains uncertain.</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1DBDFCDA" w:rsidR="001564A4" w:rsidRPr="00095262" w:rsidRDefault="00095262" w:rsidP="00095262">
            <w:pPr>
              <w:jc w:val="both"/>
              <w:rPr>
                <w:rFonts w:ascii="Arial" w:hAnsi="Arial" w:cs="Arial"/>
                <w:sz w:val="22"/>
                <w:szCs w:val="22"/>
                <w:lang w:val="en-US"/>
              </w:rPr>
            </w:pPr>
            <w:r w:rsidRPr="000B4080">
              <w:rPr>
                <w:rFonts w:ascii="Arial" w:hAnsi="Arial" w:cs="Arial"/>
                <w:sz w:val="22"/>
                <w:szCs w:val="22"/>
                <w:lang w:val="en-US"/>
              </w:rPr>
              <w:t xml:space="preserve">Adult ILD patients with baseline forced vital capacity (FVC) were included from the Australasian ILD registry and the National Healthcare Group ILD registry, Singapore. The GLI severity classification proposed in the 2022 lung function guidelines was compared to the 2005 guideline using the European Coal and Steel Community (ECSC) and Miller reference equations. The effect of using these new guidelines in ILD risk prediction models and eligibility for ILD clinical trial enrolment was also assessed.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CF73FC8" w14:textId="77777777" w:rsidR="00095262" w:rsidRPr="000B4080" w:rsidRDefault="00095262" w:rsidP="00095262">
            <w:pPr>
              <w:pStyle w:val="Default"/>
              <w:jc w:val="both"/>
              <w:rPr>
                <w:sz w:val="22"/>
                <w:szCs w:val="22"/>
              </w:rPr>
            </w:pPr>
            <w:r w:rsidRPr="000B4080">
              <w:rPr>
                <w:sz w:val="22"/>
                <w:szCs w:val="22"/>
              </w:rPr>
              <w:t xml:space="preserve">The lung function results of 2219 patients were </w:t>
            </w:r>
            <w:proofErr w:type="spellStart"/>
            <w:r w:rsidRPr="000B4080">
              <w:rPr>
                <w:sz w:val="22"/>
                <w:szCs w:val="22"/>
              </w:rPr>
              <w:t>analyzed</w:t>
            </w:r>
            <w:proofErr w:type="spellEnd"/>
            <w:r w:rsidRPr="000B4080">
              <w:rPr>
                <w:sz w:val="22"/>
                <w:szCs w:val="22"/>
              </w:rPr>
              <w:t xml:space="preserve">, of which 636 had idiopathic pulmonary fibrosis. </w:t>
            </w:r>
            <w:r w:rsidRPr="000B4080">
              <w:rPr>
                <w:sz w:val="22"/>
                <w:szCs w:val="22"/>
                <w:lang w:val="en-US"/>
              </w:rPr>
              <w:t>Disagreement in lung function severity stratification were low at 9.3% and 7.3% for FVC and diffusing capacity of the lungs for carbon monoxide (DLCO) respectively, including after stratification by ethnicity and gender. Less patients with non-idiopathic pulmonary fibrosis ILD retained clinical trial eligibility. Risk prediction models, including the composite physiological index and ILD-GAP index, performed well in predicting mortality with both reference equations.</w:t>
            </w:r>
          </w:p>
          <w:p w14:paraId="68537800" w14:textId="396AD5E0" w:rsidR="001564A4" w:rsidRPr="00095262" w:rsidRDefault="001564A4" w:rsidP="000A28E2">
            <w:pPr>
              <w:pStyle w:val="Pa12"/>
              <w:rPr>
                <w:rStyle w:val="A4"/>
                <w:color w:val="auto"/>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4B70F5D9" w:rsidR="001564A4" w:rsidRPr="00095262" w:rsidRDefault="00095262" w:rsidP="000A28E2">
            <w:pPr>
              <w:pStyle w:val="Pa12"/>
              <w:rPr>
                <w:rStyle w:val="A4"/>
                <w:color w:val="auto"/>
              </w:rPr>
            </w:pPr>
            <w:r w:rsidRPr="000B4080">
              <w:rPr>
                <w:sz w:val="22"/>
                <w:szCs w:val="22"/>
              </w:rPr>
              <w:t xml:space="preserve">The new lung function guideline using GLI reference equations remains a valid </w:t>
            </w:r>
            <w:proofErr w:type="spellStart"/>
            <w:r w:rsidRPr="000B4080">
              <w:rPr>
                <w:sz w:val="22"/>
                <w:szCs w:val="22"/>
              </w:rPr>
              <w:t>toold</w:t>
            </w:r>
            <w:proofErr w:type="spellEnd"/>
            <w:r w:rsidRPr="000B4080">
              <w:rPr>
                <w:sz w:val="22"/>
                <w:szCs w:val="22"/>
              </w:rPr>
              <w:t xml:space="preserve"> for the assessment of ILD patients.</w:t>
            </w:r>
            <w:r w:rsidR="001564A4">
              <w:rPr>
                <w:rStyle w:val="A4"/>
                <w:bCs/>
              </w:rPr>
              <w:br/>
            </w:r>
          </w:p>
          <w:p w14:paraId="7F1E3AE1" w14:textId="77777777" w:rsidR="00137DDB" w:rsidRPr="00137DDB" w:rsidRDefault="001564A4" w:rsidP="00137DDB">
            <w:pPr>
              <w:jc w:val="both"/>
              <w:rPr>
                <w:rFonts w:ascii="Arial" w:hAnsi="Arial" w:cs="Arial"/>
                <w:color w:val="000000" w:themeColor="text1"/>
                <w:sz w:val="22"/>
                <w:szCs w:val="22"/>
                <w:shd w:val="clear" w:color="auto" w:fill="FFFFFF"/>
              </w:rPr>
            </w:pPr>
            <w:r w:rsidRPr="00137DDB">
              <w:rPr>
                <w:rStyle w:val="A4"/>
                <w:rFonts w:ascii="Arial" w:hAnsi="Arial" w:cs="Arial"/>
                <w:b/>
                <w:bCs/>
              </w:rPr>
              <w:t xml:space="preserve">Grant Support: </w:t>
            </w:r>
            <w:r w:rsidR="00137DDB" w:rsidRPr="00137DDB">
              <w:rPr>
                <w:rFonts w:ascii="Arial" w:hAnsi="Arial" w:cs="Arial"/>
                <w:color w:val="000000" w:themeColor="text1"/>
                <w:sz w:val="22"/>
                <w:szCs w:val="22"/>
                <w:shd w:val="clear" w:color="auto" w:fill="FFFFFF"/>
              </w:rPr>
              <w:t>This project was supported by the Centre of Research Excellence in Pulmonary Fibrosis which is funded by the NHMRC (GNT1116371 and GNT2015613), Lung Foundation Australia, Boehringer Ingelheim, and anonymous philanthropy.</w:t>
            </w:r>
          </w:p>
          <w:p w14:paraId="3E8B4283" w14:textId="45C5B8C8" w:rsidR="001564A4" w:rsidRPr="0050053A" w:rsidRDefault="001564A4" w:rsidP="000A28E2">
            <w:pPr>
              <w:pStyle w:val="Pa12"/>
              <w:rPr>
                <w:rStyle w:val="A4"/>
                <w:b/>
                <w:bCs/>
              </w:rPr>
            </w:pP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95262"/>
    <w:rsid w:val="00137DDB"/>
    <w:rsid w:val="001564A4"/>
    <w:rsid w:val="0051574E"/>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m8659419085027704739apple-converted-space">
    <w:name w:val="m_8659419085027704739apple-converted-space"/>
    <w:basedOn w:val="DefaultParagraphFont"/>
    <w:rsid w:val="00095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Andrew Li</cp:lastModifiedBy>
  <cp:revision>3</cp:revision>
  <dcterms:created xsi:type="dcterms:W3CDTF">2020-08-27T00:40:00Z</dcterms:created>
  <dcterms:modified xsi:type="dcterms:W3CDTF">2023-10-10T05:27:00Z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