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669" w14:textId="040C44E8" w:rsidR="00612267" w:rsidRPr="00EC1E4C" w:rsidRDefault="00612267" w:rsidP="00EC1E4C">
      <w:pPr>
        <w:rPr>
          <w:rFonts w:ascii="Arial" w:hAnsi="Arial" w:cs="Arial"/>
          <w:b/>
          <w:bCs/>
          <w:color w:val="000000"/>
          <w:lang w:eastAsia="zh-CN"/>
        </w:rPr>
      </w:pPr>
      <w:r w:rsidRPr="00EC1E4C">
        <w:rPr>
          <w:rFonts w:ascii="Arial" w:hAnsi="Arial" w:cs="Arial"/>
          <w:b/>
          <w:bCs/>
          <w:color w:val="000000"/>
        </w:rPr>
        <w:t>Colon enriched DHA</w:t>
      </w:r>
      <w:r w:rsidR="00564BEA" w:rsidRPr="00EC1E4C">
        <w:rPr>
          <w:rFonts w:ascii="Arial" w:hAnsi="Arial" w:cs="Arial" w:hint="eastAsia"/>
          <w:b/>
          <w:bCs/>
          <w:color w:val="000000"/>
          <w:lang w:eastAsia="zh-CN"/>
        </w:rPr>
        <w:t>-</w:t>
      </w:r>
      <w:r w:rsidRPr="00EC1E4C">
        <w:rPr>
          <w:rFonts w:ascii="Arial" w:hAnsi="Arial" w:cs="Arial"/>
          <w:b/>
          <w:bCs/>
          <w:color w:val="000000"/>
        </w:rPr>
        <w:t>AST improves glucose metabolism by promoting intestinal L cell differentiation through lipid metabolic reprogramming</w:t>
      </w:r>
    </w:p>
    <w:p w14:paraId="63BC46E0" w14:textId="77777777" w:rsidR="00612267" w:rsidRPr="00612267" w:rsidRDefault="00612267" w:rsidP="00EC1E4C">
      <w:pPr>
        <w:rPr>
          <w:rFonts w:ascii="Arial" w:hAnsi="Arial" w:cs="Arial"/>
          <w:color w:val="000000"/>
          <w:lang w:eastAsia="zh-CN"/>
        </w:rPr>
      </w:pPr>
    </w:p>
    <w:p w14:paraId="5F54A038" w14:textId="77777777" w:rsidR="00612267" w:rsidRDefault="00612267" w:rsidP="00EC1E4C">
      <w:pPr>
        <w:rPr>
          <w:rFonts w:ascii="Arial" w:hAnsi="Arial" w:cs="Arial"/>
          <w:color w:val="000000"/>
          <w:lang w:eastAsia="zh-CN"/>
        </w:rPr>
      </w:pPr>
      <w:r w:rsidRPr="00612267">
        <w:rPr>
          <w:rFonts w:ascii="Arial" w:hAnsi="Arial" w:cs="Arial"/>
          <w:b/>
          <w:bCs/>
          <w:color w:val="000000"/>
        </w:rPr>
        <w:t>Abstract</w:t>
      </w:r>
      <w:r w:rsidRPr="00612267">
        <w:rPr>
          <w:rFonts w:ascii="Arial" w:hAnsi="Arial" w:cs="Arial"/>
          <w:color w:val="000000"/>
          <w:lang w:eastAsia="zh-CN"/>
        </w:rPr>
        <w:t xml:space="preserve"> </w:t>
      </w:r>
    </w:p>
    <w:p w14:paraId="436143EC" w14:textId="77777777" w:rsidR="00EC1E4C" w:rsidRDefault="00612267" w:rsidP="00EC1E4C">
      <w:pPr>
        <w:rPr>
          <w:rFonts w:ascii="Arial" w:hAnsi="Arial" w:cs="Arial"/>
          <w:b/>
          <w:bCs/>
          <w:color w:val="000000"/>
        </w:rPr>
      </w:pPr>
      <w:r w:rsidRPr="00612267">
        <w:rPr>
          <w:rFonts w:ascii="Arial" w:hAnsi="Arial" w:cs="Arial"/>
          <w:b/>
          <w:bCs/>
          <w:color w:val="000000"/>
        </w:rPr>
        <w:t>Aims</w:t>
      </w:r>
      <w:r w:rsidRPr="00612267">
        <w:rPr>
          <w:rFonts w:ascii="Arial" w:hAnsi="Arial" w:cs="Arial"/>
          <w:color w:val="000000"/>
        </w:rPr>
        <w:t xml:space="preserve"> Impaired intestinal endocrine function, particularly reduced glucagon like peptide 1 (GLP</w:t>
      </w:r>
      <w:r>
        <w:rPr>
          <w:rFonts w:ascii="Arial" w:hAnsi="Arial" w:cs="Arial" w:hint="eastAsia"/>
          <w:color w:val="000000"/>
          <w:lang w:eastAsia="zh-CN"/>
        </w:rPr>
        <w:t>-</w:t>
      </w:r>
      <w:r w:rsidRPr="00612267">
        <w:rPr>
          <w:rFonts w:ascii="Arial" w:hAnsi="Arial" w:cs="Arial"/>
          <w:color w:val="000000"/>
        </w:rPr>
        <w:t>1) secretion, contributes to metabolic dysregulation in diabetes. Nutritional strategies that restore endogenous GLP</w:t>
      </w:r>
      <w:r>
        <w:rPr>
          <w:rFonts w:ascii="Arial" w:hAnsi="Arial" w:cs="Arial" w:hint="eastAsia"/>
          <w:color w:val="000000"/>
          <w:lang w:eastAsia="zh-CN"/>
        </w:rPr>
        <w:t>-</w:t>
      </w:r>
      <w:r w:rsidRPr="00612267">
        <w:rPr>
          <w:rFonts w:ascii="Arial" w:hAnsi="Arial" w:cs="Arial"/>
          <w:color w:val="000000"/>
        </w:rPr>
        <w:t>1 production remain limited. This study aimed to investigate whether a colon enriched docosahexaenoic acid astaxanthin ester (DHA</w:t>
      </w:r>
      <w:r>
        <w:rPr>
          <w:rFonts w:ascii="Arial" w:hAnsi="Arial" w:cs="Arial" w:hint="eastAsia"/>
          <w:color w:val="000000"/>
          <w:lang w:eastAsia="zh-CN"/>
        </w:rPr>
        <w:t>-</w:t>
      </w:r>
      <w:r w:rsidRPr="00612267">
        <w:rPr>
          <w:rFonts w:ascii="Arial" w:hAnsi="Arial" w:cs="Arial"/>
          <w:color w:val="000000"/>
        </w:rPr>
        <w:t>AST) improves glucose metabolism by regulating intestinal endocrine lineage differentiation and to elucidate the underlying metabolic mechanisms.</w:t>
      </w:r>
      <w:r w:rsidRPr="00612267">
        <w:rPr>
          <w:rFonts w:ascii="Arial" w:hAnsi="Arial" w:cs="Arial"/>
          <w:b/>
          <w:bCs/>
          <w:color w:val="000000"/>
        </w:rPr>
        <w:t xml:space="preserve"> </w:t>
      </w:r>
    </w:p>
    <w:p w14:paraId="58D315FC" w14:textId="77777777" w:rsidR="00EC1E4C" w:rsidRDefault="00EC1E4C" w:rsidP="00EC1E4C">
      <w:pPr>
        <w:rPr>
          <w:rFonts w:ascii="Arial" w:hAnsi="Arial" w:cs="Arial"/>
          <w:b/>
          <w:bCs/>
          <w:color w:val="000000"/>
        </w:rPr>
      </w:pPr>
    </w:p>
    <w:p w14:paraId="3FE3A3CF" w14:textId="77777777" w:rsidR="00EC1E4C" w:rsidRDefault="00612267" w:rsidP="00EC1E4C">
      <w:pPr>
        <w:rPr>
          <w:rFonts w:ascii="Arial" w:hAnsi="Arial" w:cs="Arial"/>
          <w:color w:val="000000"/>
        </w:rPr>
      </w:pPr>
      <w:r w:rsidRPr="00612267">
        <w:rPr>
          <w:rFonts w:ascii="Arial" w:hAnsi="Arial" w:cs="Arial"/>
          <w:b/>
          <w:bCs/>
          <w:color w:val="000000"/>
        </w:rPr>
        <w:t>Methods</w:t>
      </w:r>
      <w:r w:rsidRPr="00612267">
        <w:rPr>
          <w:rFonts w:ascii="Arial" w:hAnsi="Arial" w:cs="Arial"/>
          <w:color w:val="000000"/>
        </w:rPr>
        <w:t xml:space="preserve"> DHA</w:t>
      </w:r>
      <w:r>
        <w:rPr>
          <w:rFonts w:ascii="Arial" w:hAnsi="Arial" w:cs="Arial" w:hint="eastAsia"/>
          <w:color w:val="000000"/>
          <w:lang w:eastAsia="zh-CN"/>
        </w:rPr>
        <w:t>-</w:t>
      </w:r>
      <w:r w:rsidRPr="00612267">
        <w:rPr>
          <w:rFonts w:ascii="Arial" w:hAnsi="Arial" w:cs="Arial"/>
          <w:color w:val="000000"/>
        </w:rPr>
        <w:t>AST was synthesized and characterized, and its gastrointestinal distribution was compared with free DHA and a DHA plus astaxanthin mixture in healthy and diabetic mouse models. Diabetic mice were chronically treated with DHA</w:t>
      </w:r>
      <w:r>
        <w:rPr>
          <w:rFonts w:ascii="Arial" w:hAnsi="Arial" w:cs="Arial" w:hint="eastAsia"/>
          <w:color w:val="000000"/>
          <w:lang w:eastAsia="zh-CN"/>
        </w:rPr>
        <w:t>-</w:t>
      </w:r>
      <w:r w:rsidRPr="00612267">
        <w:rPr>
          <w:rFonts w:ascii="Arial" w:hAnsi="Arial" w:cs="Arial"/>
          <w:color w:val="000000"/>
        </w:rPr>
        <w:t>AST to assess metabolic phenotypes, including glucose tolerance, insulin sensitivity and glucose stimulated insulin secretion. Pharmacological blockade of GLP</w:t>
      </w:r>
      <w:r>
        <w:rPr>
          <w:rFonts w:ascii="Arial" w:hAnsi="Arial" w:cs="Arial" w:hint="eastAsia"/>
          <w:color w:val="000000"/>
          <w:lang w:eastAsia="zh-CN"/>
        </w:rPr>
        <w:t>-</w:t>
      </w:r>
      <w:r w:rsidRPr="00612267">
        <w:rPr>
          <w:rFonts w:ascii="Arial" w:hAnsi="Arial" w:cs="Arial"/>
          <w:color w:val="000000"/>
        </w:rPr>
        <w:t>1 signalling was applied to determine its functional contribution. Mouse colonic organoids were used to examine endocrine differentiation under DHA</w:t>
      </w:r>
      <w:r>
        <w:rPr>
          <w:rFonts w:ascii="Arial" w:hAnsi="Arial" w:cs="Arial" w:hint="eastAsia"/>
          <w:color w:val="000000"/>
          <w:lang w:eastAsia="zh-CN"/>
        </w:rPr>
        <w:t>-</w:t>
      </w:r>
      <w:r w:rsidRPr="00612267">
        <w:rPr>
          <w:rFonts w:ascii="Arial" w:hAnsi="Arial" w:cs="Arial"/>
          <w:color w:val="000000"/>
        </w:rPr>
        <w:t xml:space="preserve">AST related component treatments. Transcriptomic and metabolomic analyses were integrated to identify key metabolic pathways and regulatory genes. Human colonic organoids and clinical samples were used for translational validation. </w:t>
      </w:r>
    </w:p>
    <w:p w14:paraId="52279AF1" w14:textId="77777777" w:rsidR="00EC1E4C" w:rsidRDefault="00EC1E4C" w:rsidP="00EC1E4C">
      <w:pPr>
        <w:rPr>
          <w:rFonts w:ascii="Arial" w:hAnsi="Arial" w:cs="Arial"/>
          <w:color w:val="000000"/>
        </w:rPr>
      </w:pPr>
    </w:p>
    <w:p w14:paraId="681F478B" w14:textId="77777777" w:rsidR="00EC1E4C" w:rsidRDefault="00612267" w:rsidP="00EC1E4C">
      <w:pPr>
        <w:rPr>
          <w:rFonts w:ascii="Arial" w:hAnsi="Arial" w:cs="Arial"/>
          <w:color w:val="000000"/>
        </w:rPr>
      </w:pPr>
      <w:r w:rsidRPr="00612267">
        <w:rPr>
          <w:rFonts w:ascii="Arial" w:hAnsi="Arial" w:cs="Arial"/>
          <w:b/>
          <w:bCs/>
          <w:color w:val="000000"/>
        </w:rPr>
        <w:t>Results</w:t>
      </w:r>
      <w:r w:rsidRPr="00612267">
        <w:rPr>
          <w:rFonts w:ascii="Arial" w:hAnsi="Arial" w:cs="Arial"/>
          <w:color w:val="000000"/>
        </w:rPr>
        <w:t xml:space="preserve"> DHA</w:t>
      </w:r>
      <w:r>
        <w:rPr>
          <w:rFonts w:ascii="Arial" w:hAnsi="Arial" w:cs="Arial" w:hint="eastAsia"/>
          <w:color w:val="000000"/>
          <w:lang w:eastAsia="zh-CN"/>
        </w:rPr>
        <w:t>-</w:t>
      </w:r>
      <w:r w:rsidRPr="00612267">
        <w:rPr>
          <w:rFonts w:ascii="Arial" w:hAnsi="Arial" w:cs="Arial"/>
          <w:color w:val="000000"/>
        </w:rPr>
        <w:t>AST exhibited delayed small intestinal absorption and significant colon enrichment compared with free DHA, accompanied by improved glucose tolerance, insulin sensitivity and insulin secretion in diabetic mice. These metabolic benefits were associated with increased colonic L cell abundance and elevated circulating GLP</w:t>
      </w:r>
      <w:r>
        <w:rPr>
          <w:rFonts w:ascii="Arial" w:hAnsi="Arial" w:cs="Arial" w:hint="eastAsia"/>
          <w:color w:val="000000"/>
          <w:lang w:eastAsia="zh-CN"/>
        </w:rPr>
        <w:t>-</w:t>
      </w:r>
      <w:r w:rsidRPr="00612267">
        <w:rPr>
          <w:rFonts w:ascii="Arial" w:hAnsi="Arial" w:cs="Arial"/>
          <w:color w:val="000000"/>
        </w:rPr>
        <w:t>1 levels, and were markedly attenuated by GLP</w:t>
      </w:r>
      <w:r>
        <w:rPr>
          <w:rFonts w:ascii="Arial" w:hAnsi="Arial" w:cs="Arial" w:hint="eastAsia"/>
          <w:color w:val="000000"/>
          <w:lang w:eastAsia="zh-CN"/>
        </w:rPr>
        <w:t>-</w:t>
      </w:r>
      <w:r w:rsidRPr="00612267">
        <w:rPr>
          <w:rFonts w:ascii="Arial" w:hAnsi="Arial" w:cs="Arial"/>
          <w:color w:val="000000"/>
        </w:rPr>
        <w:t>1 receptor blockade. In colonic organoids, DHA released from DHA</w:t>
      </w:r>
      <w:r>
        <w:rPr>
          <w:rFonts w:ascii="Arial" w:hAnsi="Arial" w:cs="Arial" w:hint="eastAsia"/>
          <w:color w:val="000000"/>
          <w:lang w:eastAsia="zh-CN"/>
        </w:rPr>
        <w:t>-</w:t>
      </w:r>
      <w:r w:rsidRPr="00612267">
        <w:rPr>
          <w:rFonts w:ascii="Arial" w:hAnsi="Arial" w:cs="Arial"/>
          <w:color w:val="000000"/>
        </w:rPr>
        <w:t>AST selectively promoted L cell differentiation. Mechanistically, DHA activated lipid metabolic reprogramming characterized by upregulation of acyl CoA oxidase 1 and increased acetyl L carnitine levels. Genetic or functional disruption of this metabolic axis abolished DHA induced endocrine differentiation. Consistent effects were observed in human colonic organoids, and acetyl L carnitine levels correlated with metabolic parameters in clinical samples.</w:t>
      </w:r>
    </w:p>
    <w:p w14:paraId="4C482EAF" w14:textId="77777777" w:rsidR="00EC1E4C" w:rsidRDefault="00EC1E4C" w:rsidP="00EC1E4C">
      <w:pPr>
        <w:rPr>
          <w:rFonts w:ascii="Arial" w:hAnsi="Arial" w:cs="Arial"/>
          <w:color w:val="000000"/>
        </w:rPr>
      </w:pPr>
    </w:p>
    <w:p w14:paraId="5AC8EF12" w14:textId="13089BA8" w:rsidR="008427FA" w:rsidRPr="00612267" w:rsidRDefault="00612267" w:rsidP="00EC1E4C">
      <w:pPr>
        <w:rPr>
          <w:rFonts w:ascii="Arial" w:hAnsi="Arial" w:cs="Arial"/>
          <w:lang w:val="en-US" w:eastAsia="zh-CN"/>
        </w:rPr>
      </w:pPr>
      <w:r w:rsidRPr="00612267">
        <w:rPr>
          <w:rFonts w:ascii="Arial" w:hAnsi="Arial" w:cs="Arial"/>
          <w:color w:val="000000"/>
        </w:rPr>
        <w:t xml:space="preserve"> </w:t>
      </w:r>
      <w:r w:rsidRPr="00612267">
        <w:rPr>
          <w:rFonts w:ascii="Arial" w:hAnsi="Arial" w:cs="Arial"/>
          <w:b/>
          <w:bCs/>
          <w:color w:val="000000"/>
        </w:rPr>
        <w:t>Conclusion</w:t>
      </w:r>
      <w:r w:rsidRPr="00612267">
        <w:rPr>
          <w:rFonts w:ascii="Arial" w:hAnsi="Arial" w:cs="Arial"/>
          <w:color w:val="000000"/>
        </w:rPr>
        <w:t xml:space="preserve"> DHA</w:t>
      </w:r>
      <w:r>
        <w:rPr>
          <w:rFonts w:ascii="Arial" w:hAnsi="Arial" w:cs="Arial" w:hint="eastAsia"/>
          <w:color w:val="000000"/>
          <w:lang w:eastAsia="zh-CN"/>
        </w:rPr>
        <w:t>-</w:t>
      </w:r>
      <w:r w:rsidRPr="00612267">
        <w:rPr>
          <w:rFonts w:ascii="Arial" w:hAnsi="Arial" w:cs="Arial"/>
          <w:color w:val="000000"/>
        </w:rPr>
        <w:t>AST serves as an effective colon targeted DHA delivery strategy and improves glucose metabolism by activating an ACOX1 acetyl L carnitine dependent metabolic pathway that drives intestinal L cell differentiation and endogenous GLP</w:t>
      </w:r>
      <w:r>
        <w:rPr>
          <w:rFonts w:ascii="Arial" w:hAnsi="Arial" w:cs="Arial" w:hint="eastAsia"/>
          <w:color w:val="000000"/>
          <w:lang w:eastAsia="zh-CN"/>
        </w:rPr>
        <w:t>-</w:t>
      </w:r>
      <w:r w:rsidRPr="00612267">
        <w:rPr>
          <w:rFonts w:ascii="Arial" w:hAnsi="Arial" w:cs="Arial"/>
          <w:color w:val="000000"/>
        </w:rPr>
        <w:t>1 production.</w:t>
      </w:r>
    </w:p>
    <w:p w14:paraId="69886DD6" w14:textId="77777777" w:rsidR="008427FA" w:rsidRPr="00612267" w:rsidRDefault="008427FA" w:rsidP="00EC1E4C">
      <w:pPr>
        <w:rPr>
          <w:rFonts w:ascii="Arial" w:hAnsi="Arial" w:cs="Arial"/>
        </w:rPr>
      </w:pPr>
    </w:p>
    <w:p w14:paraId="31EAA4F4" w14:textId="77777777" w:rsidR="008427FA" w:rsidRPr="00612267" w:rsidRDefault="008427FA" w:rsidP="00EC1E4C">
      <w:pPr>
        <w:rPr>
          <w:rFonts w:ascii="Arial" w:hAnsi="Arial" w:cs="Arial"/>
        </w:rPr>
      </w:pPr>
    </w:p>
    <w:p w14:paraId="11C6E1EF" w14:textId="77777777" w:rsidR="008427FA" w:rsidRPr="00612267" w:rsidRDefault="008427FA" w:rsidP="008427FA">
      <w:pPr>
        <w:rPr>
          <w:rFonts w:ascii="Arial" w:hAnsi="Arial" w:cs="Arial"/>
        </w:rPr>
      </w:pPr>
    </w:p>
    <w:p w14:paraId="15D657A2" w14:textId="77777777" w:rsidR="008427FA" w:rsidRPr="00612267" w:rsidRDefault="008427FA" w:rsidP="008427FA">
      <w:pPr>
        <w:rPr>
          <w:rFonts w:ascii="Arial" w:hAnsi="Arial" w:cs="Arial"/>
        </w:rPr>
      </w:pPr>
    </w:p>
    <w:p w14:paraId="5AEC921B" w14:textId="77777777" w:rsidR="008427FA" w:rsidRPr="00612267" w:rsidRDefault="008427FA" w:rsidP="008427FA">
      <w:pPr>
        <w:rPr>
          <w:rFonts w:ascii="Arial" w:hAnsi="Arial" w:cs="Arial"/>
        </w:rPr>
      </w:pPr>
    </w:p>
    <w:p w14:paraId="40ADEEC0" w14:textId="77777777" w:rsidR="008427FA" w:rsidRPr="00612267" w:rsidRDefault="008427FA" w:rsidP="008427FA">
      <w:pPr>
        <w:rPr>
          <w:rFonts w:ascii="Arial" w:hAnsi="Arial" w:cs="Arial"/>
        </w:rPr>
      </w:pPr>
    </w:p>
    <w:p w14:paraId="484FA34F" w14:textId="77777777" w:rsidR="00830A4D" w:rsidRPr="007244F0" w:rsidRDefault="00830A4D">
      <w:pPr>
        <w:rPr>
          <w:rFonts w:ascii="Arial" w:hAnsi="Arial" w:cs="Arial"/>
          <w:lang w:eastAsia="zh-CN"/>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4C6CAC"/>
    <w:rsid w:val="004E09DD"/>
    <w:rsid w:val="00564BEA"/>
    <w:rsid w:val="00577D14"/>
    <w:rsid w:val="00612267"/>
    <w:rsid w:val="007244F0"/>
    <w:rsid w:val="00830A4D"/>
    <w:rsid w:val="008427FA"/>
    <w:rsid w:val="008953CF"/>
    <w:rsid w:val="009A582D"/>
    <w:rsid w:val="009D79DB"/>
    <w:rsid w:val="00A85759"/>
    <w:rsid w:val="00BC73E4"/>
    <w:rsid w:val="00C73171"/>
    <w:rsid w:val="00D56368"/>
    <w:rsid w:val="00DD0D64"/>
    <w:rsid w:val="00EC1E4C"/>
    <w:rsid w:val="00F05B3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EastAsia"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994CD06A-374A-4D16-8BE8-981500D9A0DA}"/>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2252</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2026-02-17T01:23:00Z</dcterms:created>
  <dcterms:modified xsi:type="dcterms:W3CDTF">2026-02-17T01:24:00Z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