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97FA0" w14:textId="27A4B550" w:rsidR="008427FA" w:rsidRPr="00712D7E" w:rsidRDefault="00071DB2" w:rsidP="00E97285">
      <w:pPr>
        <w:rPr>
          <w:rFonts w:ascii="Arial" w:hAnsi="Arial" w:cs="Arial"/>
          <w:i/>
          <w:iCs/>
        </w:rPr>
      </w:pPr>
      <w:r w:rsidRPr="00712D7E">
        <w:rPr>
          <w:rFonts w:ascii="Arial" w:hAnsi="Arial" w:cs="Arial" w:hint="eastAsia"/>
          <w:b/>
          <w:bCs/>
          <w:i/>
          <w:iCs/>
          <w:lang w:eastAsia="zh-CN"/>
        </w:rPr>
        <w:t>T</w:t>
      </w:r>
      <w:r w:rsidR="008427FA" w:rsidRPr="00712D7E">
        <w:rPr>
          <w:rFonts w:ascii="Arial" w:hAnsi="Arial" w:cs="Arial"/>
          <w:b/>
          <w:bCs/>
          <w:i/>
          <w:iCs/>
        </w:rPr>
        <w:t xml:space="preserve">itle: </w:t>
      </w:r>
      <w:r w:rsidR="00302C54" w:rsidRPr="00712D7E">
        <w:rPr>
          <w:rFonts w:ascii="Arial" w:hAnsi="Arial" w:cs="Arial"/>
          <w:i/>
          <w:iCs/>
        </w:rPr>
        <w:t>Identifying the Optimal Rolling Percentile Threshold for Baseline Estimation from Continuous Glucose Monitoring in Adults at Risk of Type 2 Diabetes</w:t>
      </w:r>
      <w:r w:rsidR="00302C54" w:rsidRPr="00712D7E" w:rsidDel="00E97285">
        <w:rPr>
          <w:rFonts w:ascii="Arial" w:hAnsi="Arial" w:cs="Arial"/>
          <w:i/>
          <w:iCs/>
        </w:rPr>
        <w:t xml:space="preserve"> </w:t>
      </w:r>
    </w:p>
    <w:p w14:paraId="265C7D9B" w14:textId="77777777" w:rsidR="008427FA" w:rsidRPr="00712D7E" w:rsidRDefault="008427FA" w:rsidP="008427FA">
      <w:pPr>
        <w:rPr>
          <w:rFonts w:ascii="Arial" w:hAnsi="Arial" w:cs="Arial"/>
          <w:i/>
          <w:iCs/>
        </w:rPr>
      </w:pPr>
    </w:p>
    <w:p w14:paraId="454B7C19" w14:textId="4CE0CCE8" w:rsidR="008427FA" w:rsidRPr="00712D7E" w:rsidRDefault="008427FA" w:rsidP="008427FA">
      <w:pPr>
        <w:rPr>
          <w:rFonts w:ascii="Arial" w:hAnsi="Arial" w:cs="Arial"/>
          <w:b/>
          <w:bCs/>
        </w:rPr>
      </w:pPr>
      <w:r w:rsidRPr="00712D7E">
        <w:rPr>
          <w:rFonts w:ascii="Arial" w:hAnsi="Arial" w:cs="Arial"/>
          <w:b/>
          <w:bCs/>
        </w:rPr>
        <w:t xml:space="preserve">Abstract: </w:t>
      </w:r>
    </w:p>
    <w:p w14:paraId="1F7B8E55" w14:textId="4B3F4594" w:rsidR="00207776" w:rsidRPr="00712D7E" w:rsidRDefault="00207776" w:rsidP="000B63DD">
      <w:pPr>
        <w:rPr>
          <w:rFonts w:ascii="Arial" w:eastAsia="Times New Roman" w:hAnsi="Arial" w:cs="Arial"/>
          <w:b/>
          <w:bCs/>
          <w:lang w:eastAsia="en-NZ"/>
        </w:rPr>
      </w:pPr>
      <w:r w:rsidRPr="00712D7E">
        <w:rPr>
          <w:rFonts w:ascii="Arial" w:eastAsia="Times New Roman" w:hAnsi="Arial" w:cs="Arial"/>
          <w:b/>
          <w:bCs/>
          <w:lang w:eastAsia="en-NZ"/>
        </w:rPr>
        <w:t>Background:</w:t>
      </w:r>
      <w:r w:rsidRPr="00712D7E">
        <w:rPr>
          <w:rFonts w:ascii="Arial" w:eastAsia="Times New Roman" w:hAnsi="Arial" w:cs="Arial"/>
          <w:lang w:eastAsia="en-NZ"/>
        </w:rPr>
        <w:t xml:space="preserve"> </w:t>
      </w:r>
      <w:r w:rsidR="000B63DD" w:rsidRPr="00712D7E">
        <w:rPr>
          <w:rFonts w:ascii="Arial" w:eastAsia="Times New Roman" w:hAnsi="Arial" w:cs="Arial"/>
          <w:lang w:eastAsia="en-NZ"/>
        </w:rPr>
        <w:t>Accurate interpretation of</w:t>
      </w:r>
      <w:r w:rsidR="000B63DD" w:rsidRPr="00712D7E">
        <w:rPr>
          <w:rFonts w:ascii="Arial" w:eastAsia="Times New Roman" w:hAnsi="Arial" w:cs="Arial" w:hint="eastAsia"/>
          <w:lang w:val="en-US" w:eastAsia="zh-CN"/>
        </w:rPr>
        <w:t xml:space="preserve"> continuous</w:t>
      </w:r>
      <w:r w:rsidR="000B63DD" w:rsidRPr="00712D7E">
        <w:rPr>
          <w:rFonts w:ascii="Arial" w:eastAsia="Times New Roman" w:hAnsi="Arial" w:cs="Arial"/>
          <w:lang w:val="en-US" w:eastAsia="zh-CN"/>
        </w:rPr>
        <w:t xml:space="preserve"> glucose monitoring (</w:t>
      </w:r>
      <w:r w:rsidR="000B63DD" w:rsidRPr="00712D7E">
        <w:rPr>
          <w:rFonts w:ascii="Arial" w:eastAsia="Times New Roman" w:hAnsi="Arial" w:cs="Arial"/>
          <w:lang w:eastAsia="en-NZ"/>
        </w:rPr>
        <w:t>CGM) data requires a stable individual baseline from which postprandial glucose excursions can be calculated</w:t>
      </w:r>
      <w:r w:rsidR="00712D7E">
        <w:rPr>
          <w:rFonts w:ascii="Arial" w:eastAsia="Times New Roman" w:hAnsi="Arial" w:cs="Arial"/>
          <w:lang w:eastAsia="en-NZ"/>
        </w:rPr>
        <w:t>.</w:t>
      </w:r>
      <w:r w:rsidR="000B63DD" w:rsidRPr="00712D7E">
        <w:rPr>
          <w:rFonts w:ascii="Arial" w:eastAsia="Times New Roman" w:hAnsi="Arial" w:cs="Arial"/>
          <w:lang w:eastAsia="en-NZ"/>
        </w:rPr>
        <w:t xml:space="preserve"> </w:t>
      </w:r>
      <w:r w:rsidR="00712D7E">
        <w:rPr>
          <w:rFonts w:ascii="Arial" w:eastAsia="Times New Roman" w:hAnsi="Arial" w:cs="Arial"/>
          <w:lang w:eastAsia="en-NZ"/>
        </w:rPr>
        <w:t>While</w:t>
      </w:r>
      <w:r w:rsidR="000B63DD" w:rsidRPr="00712D7E">
        <w:rPr>
          <w:rFonts w:ascii="Arial" w:eastAsia="Times New Roman" w:hAnsi="Arial" w:cs="Arial"/>
          <w:lang w:eastAsia="en-NZ"/>
        </w:rPr>
        <w:t xml:space="preserve"> nocturnal</w:t>
      </w:r>
      <w:r w:rsidR="00D86E3B" w:rsidRPr="00712D7E">
        <w:rPr>
          <w:rFonts w:ascii="Arial" w:eastAsia="Times New Roman" w:hAnsi="Arial" w:cs="Arial"/>
          <w:lang w:eastAsia="en-NZ"/>
        </w:rPr>
        <w:t xml:space="preserve"> </w:t>
      </w:r>
      <w:r w:rsidR="000B63DD" w:rsidRPr="00712D7E">
        <w:rPr>
          <w:rFonts w:ascii="Arial" w:eastAsia="Times New Roman" w:hAnsi="Arial" w:cs="Arial"/>
          <w:lang w:eastAsia="en-NZ"/>
        </w:rPr>
        <w:t xml:space="preserve">and pre-prandial glucose </w:t>
      </w:r>
      <w:r w:rsidR="00D86E3B" w:rsidRPr="00712D7E">
        <w:rPr>
          <w:rFonts w:ascii="Arial" w:eastAsia="Times New Roman" w:hAnsi="Arial" w:cs="Arial"/>
          <w:lang w:eastAsia="en-NZ"/>
        </w:rPr>
        <w:t xml:space="preserve">often </w:t>
      </w:r>
      <w:r w:rsidR="000B63DD" w:rsidRPr="00712D7E">
        <w:rPr>
          <w:rFonts w:ascii="Arial" w:eastAsia="Times New Roman" w:hAnsi="Arial" w:cs="Arial"/>
          <w:lang w:eastAsia="en-NZ"/>
        </w:rPr>
        <w:t>serving as the reference state</w:t>
      </w:r>
      <w:r w:rsidR="00712D7E">
        <w:rPr>
          <w:rFonts w:ascii="Arial" w:eastAsia="Times New Roman" w:hAnsi="Arial" w:cs="Arial"/>
          <w:lang w:eastAsia="en-NZ"/>
        </w:rPr>
        <w:t>,</w:t>
      </w:r>
      <w:r w:rsidR="000B63DD" w:rsidRPr="00712D7E">
        <w:rPr>
          <w:rFonts w:ascii="Arial" w:eastAsia="Times New Roman" w:hAnsi="Arial" w:cs="Arial"/>
          <w:lang w:eastAsia="en-NZ"/>
        </w:rPr>
        <w:t xml:space="preserve"> </w:t>
      </w:r>
      <w:r w:rsidR="00D86E3B" w:rsidRPr="00712D7E">
        <w:rPr>
          <w:rFonts w:ascii="Arial" w:eastAsia="Times New Roman" w:hAnsi="Arial" w:cs="Arial"/>
          <w:lang w:eastAsia="en-NZ"/>
        </w:rPr>
        <w:t xml:space="preserve">the dawn phenomenon means these two states are physiologically distinct. </w:t>
      </w:r>
      <w:r w:rsidR="00F645CA" w:rsidRPr="00F645CA">
        <w:rPr>
          <w:rFonts w:ascii="Arial" w:eastAsia="Times New Roman" w:hAnsi="Arial" w:cs="Arial"/>
          <w:lang w:eastAsia="en-NZ"/>
        </w:rPr>
        <w:t>A 24-hour rolling percentile method has been proposed, and the 40th percentile (P</w:t>
      </w:r>
      <w:r w:rsidR="00F645CA" w:rsidRPr="00F645CA">
        <w:rPr>
          <w:rFonts w:ascii="Cambria Math" w:eastAsia="Times New Roman" w:hAnsi="Cambria Math" w:cs="Cambria Math"/>
          <w:lang w:eastAsia="en-NZ"/>
        </w:rPr>
        <w:t>₄₀</w:t>
      </w:r>
      <w:r w:rsidR="00F645CA" w:rsidRPr="00F645CA">
        <w:rPr>
          <w:rFonts w:ascii="Arial" w:eastAsia="Times New Roman" w:hAnsi="Arial" w:cs="Arial"/>
          <w:lang w:eastAsia="en-NZ"/>
        </w:rPr>
        <w:t>) has been identified as ideal for pre-breakfast values in healthy adults</w:t>
      </w:r>
      <w:r w:rsidR="000B63DD" w:rsidRPr="00712D7E">
        <w:rPr>
          <w:rFonts w:ascii="Arial" w:eastAsia="Times New Roman" w:hAnsi="Arial" w:cs="Arial"/>
          <w:lang w:eastAsia="en-NZ"/>
        </w:rPr>
        <w:t>.</w:t>
      </w:r>
    </w:p>
    <w:p w14:paraId="7B5DC7D2" w14:textId="57F918C0" w:rsidR="000A728D" w:rsidRPr="00712D7E" w:rsidRDefault="000A728D" w:rsidP="000A728D">
      <w:pPr>
        <w:rPr>
          <w:rFonts w:ascii="Arial" w:eastAsia="Times New Roman" w:hAnsi="Arial" w:cs="Arial"/>
          <w:lang w:val="en-US" w:eastAsia="zh-CN"/>
        </w:rPr>
      </w:pPr>
      <w:r w:rsidRPr="00712D7E">
        <w:rPr>
          <w:rFonts w:ascii="Arial" w:eastAsia="Times New Roman" w:hAnsi="Arial" w:cs="Arial"/>
          <w:b/>
          <w:bCs/>
          <w:lang w:eastAsia="en-NZ"/>
        </w:rPr>
        <w:t>Aim:</w:t>
      </w:r>
      <w:r w:rsidR="000B63DD" w:rsidRPr="00712D7E">
        <w:t xml:space="preserve"> </w:t>
      </w:r>
      <w:r w:rsidR="000B63DD" w:rsidRPr="00712D7E">
        <w:rPr>
          <w:rFonts w:ascii="Arial" w:eastAsia="Times New Roman" w:hAnsi="Arial" w:cs="Arial"/>
          <w:lang w:eastAsia="en-NZ"/>
        </w:rPr>
        <w:t>To identify the optimal rolling percentile threshold for CGM baseline estimation across nocturnal and pre-prandial reference targets in adults at risk</w:t>
      </w:r>
      <w:r w:rsidR="00567830" w:rsidRPr="00712D7E">
        <w:rPr>
          <w:rFonts w:ascii="Arial" w:eastAsia="Times New Roman" w:hAnsi="Arial" w:cs="Arial"/>
          <w:lang w:eastAsia="en-NZ"/>
        </w:rPr>
        <w:t xml:space="preserve"> </w:t>
      </w:r>
      <w:r w:rsidR="00D1172F" w:rsidRPr="00712D7E">
        <w:rPr>
          <w:rFonts w:ascii="Arial" w:eastAsia="Times New Roman" w:hAnsi="Arial" w:cs="Arial"/>
          <w:lang w:eastAsia="en-NZ"/>
        </w:rPr>
        <w:t xml:space="preserve">of </w:t>
      </w:r>
      <w:r w:rsidR="00567830" w:rsidRPr="00712D7E">
        <w:rPr>
          <w:rFonts w:ascii="Arial" w:eastAsia="Times New Roman" w:hAnsi="Arial" w:cs="Arial"/>
          <w:lang w:eastAsia="en-NZ"/>
        </w:rPr>
        <w:t>T2DM</w:t>
      </w:r>
      <w:r w:rsidR="000B63DD" w:rsidRPr="00712D7E">
        <w:rPr>
          <w:rFonts w:ascii="Arial" w:eastAsia="Times New Roman" w:hAnsi="Arial" w:cs="Arial"/>
          <w:lang w:eastAsia="en-NZ"/>
        </w:rPr>
        <w:t>.</w:t>
      </w:r>
    </w:p>
    <w:p w14:paraId="1069492B" w14:textId="6768A919" w:rsidR="000A728D" w:rsidRPr="00712D7E" w:rsidRDefault="000A728D" w:rsidP="000A728D">
      <w:pPr>
        <w:rPr>
          <w:rFonts w:ascii="Arial" w:eastAsia="Times New Roman" w:hAnsi="Arial" w:cs="Arial"/>
          <w:b/>
          <w:bCs/>
          <w:lang w:eastAsia="en-NZ"/>
        </w:rPr>
      </w:pPr>
      <w:r w:rsidRPr="00712D7E">
        <w:rPr>
          <w:rFonts w:ascii="Arial" w:eastAsia="Times New Roman" w:hAnsi="Arial" w:cs="Arial"/>
          <w:b/>
          <w:bCs/>
          <w:lang w:eastAsia="en-NZ"/>
        </w:rPr>
        <w:t>Methods:</w:t>
      </w:r>
      <w:r w:rsidR="00AC02DB" w:rsidRPr="00712D7E">
        <w:t xml:space="preserve"> </w:t>
      </w:r>
      <w:r w:rsidR="00AC02DB" w:rsidRPr="00712D7E">
        <w:rPr>
          <w:rFonts w:ascii="Arial" w:eastAsia="Times New Roman" w:hAnsi="Arial" w:cs="Arial"/>
          <w:lang w:eastAsia="en-NZ"/>
        </w:rPr>
        <w:t xml:space="preserve">CGM data from 98 adults at risk of T2DM (NCT05769335) were analysed across a supervised 28-hour metabolic ward admission and up to 12 preceding free-living days. Rolling 24-hour </w:t>
      </w:r>
      <w:r w:rsidR="00AC02DB" w:rsidRPr="00712D7E">
        <w:rPr>
          <w:rFonts w:ascii="Arial" w:eastAsia="Times New Roman" w:hAnsi="Arial" w:cs="Arial" w:hint="eastAsia"/>
          <w:lang w:eastAsia="zh-CN"/>
        </w:rPr>
        <w:t>before</w:t>
      </w:r>
      <w:r w:rsidR="00AC02DB" w:rsidRPr="00712D7E">
        <w:rPr>
          <w:rFonts w:ascii="Arial" w:eastAsia="Times New Roman" w:hAnsi="Arial" w:cs="Arial"/>
          <w:lang w:eastAsia="en-NZ"/>
        </w:rPr>
        <w:t xml:space="preserve"> percentile baselines (P</w:t>
      </w:r>
      <w:r w:rsidR="00AC02DB" w:rsidRPr="00712D7E">
        <w:rPr>
          <w:rFonts w:ascii="Cambria Math" w:eastAsia="Times New Roman" w:hAnsi="Cambria Math" w:cs="Cambria Math"/>
          <w:lang w:eastAsia="en-NZ"/>
        </w:rPr>
        <w:t>₂₀</w:t>
      </w:r>
      <w:r w:rsidR="00AC02DB" w:rsidRPr="00712D7E">
        <w:rPr>
          <w:rFonts w:ascii="Arial" w:eastAsia="Times New Roman" w:hAnsi="Arial" w:cs="Arial"/>
          <w:lang w:eastAsia="en-NZ"/>
        </w:rPr>
        <w:t>–P</w:t>
      </w:r>
      <w:r w:rsidR="00AC02DB" w:rsidRPr="00712D7E">
        <w:rPr>
          <w:rFonts w:ascii="Cambria Math" w:eastAsia="Times New Roman" w:hAnsi="Cambria Math" w:cs="Cambria Math"/>
          <w:lang w:eastAsia="en-NZ"/>
        </w:rPr>
        <w:t>₆₀</w:t>
      </w:r>
      <w:r w:rsidR="00AC02DB" w:rsidRPr="00712D7E">
        <w:rPr>
          <w:rFonts w:ascii="Arial" w:eastAsia="Times New Roman" w:hAnsi="Arial" w:cs="Arial"/>
          <w:lang w:eastAsia="en-NZ"/>
        </w:rPr>
        <w:t xml:space="preserve">) were evaluated against </w:t>
      </w:r>
      <w:r w:rsidR="00374D40" w:rsidRPr="00712D7E">
        <w:rPr>
          <w:rFonts w:ascii="Arial" w:eastAsia="Times New Roman" w:hAnsi="Arial" w:cs="Arial"/>
          <w:lang w:eastAsia="en-NZ"/>
        </w:rPr>
        <w:t>three</w:t>
      </w:r>
      <w:r w:rsidR="00AC02DB" w:rsidRPr="00712D7E">
        <w:rPr>
          <w:rFonts w:ascii="Arial" w:eastAsia="Times New Roman" w:hAnsi="Arial" w:cs="Arial"/>
          <w:lang w:eastAsia="en-NZ"/>
        </w:rPr>
        <w:t xml:space="preserve"> reference targets: </w:t>
      </w:r>
      <w:r w:rsidR="00374D40" w:rsidRPr="00712D7E">
        <w:rPr>
          <w:rFonts w:ascii="Arial" w:eastAsia="Times New Roman" w:hAnsi="Arial" w:cs="Arial"/>
          <w:lang w:eastAsia="en-NZ"/>
        </w:rPr>
        <w:t xml:space="preserve">ward and free-living </w:t>
      </w:r>
      <w:r w:rsidR="00AC02DB" w:rsidRPr="00712D7E">
        <w:rPr>
          <w:rFonts w:ascii="Arial" w:eastAsia="Times New Roman" w:hAnsi="Arial" w:cs="Arial"/>
          <w:lang w:eastAsia="en-NZ"/>
        </w:rPr>
        <w:t xml:space="preserve">nocturnal </w:t>
      </w:r>
      <w:r w:rsidR="00374D40" w:rsidRPr="00712D7E">
        <w:rPr>
          <w:rFonts w:ascii="Arial" w:eastAsia="Times New Roman" w:hAnsi="Arial" w:cs="Arial"/>
          <w:lang w:eastAsia="en-NZ"/>
        </w:rPr>
        <w:t xml:space="preserve">glucose </w:t>
      </w:r>
      <w:r w:rsidR="00AC02DB" w:rsidRPr="00712D7E">
        <w:rPr>
          <w:rFonts w:ascii="Arial" w:eastAsia="Times New Roman" w:hAnsi="Arial" w:cs="Arial"/>
          <w:lang w:eastAsia="en-NZ"/>
        </w:rPr>
        <w:t>mean</w:t>
      </w:r>
      <w:r w:rsidR="00374D40" w:rsidRPr="00712D7E">
        <w:rPr>
          <w:rFonts w:ascii="Arial" w:eastAsia="Times New Roman" w:hAnsi="Arial" w:cs="Arial"/>
          <w:lang w:eastAsia="en-NZ"/>
        </w:rPr>
        <w:t>s</w:t>
      </w:r>
      <w:r w:rsidR="00AC02DB" w:rsidRPr="00712D7E">
        <w:rPr>
          <w:rFonts w:ascii="Arial" w:eastAsia="Times New Roman" w:hAnsi="Arial" w:cs="Arial"/>
          <w:lang w:eastAsia="en-NZ"/>
        </w:rPr>
        <w:t xml:space="preserve"> (</w:t>
      </w:r>
      <w:r w:rsidR="00F645CA">
        <w:rPr>
          <w:rFonts w:ascii="Arial" w:eastAsia="Times New Roman" w:hAnsi="Arial" w:cs="Arial"/>
          <w:lang w:eastAsia="en-NZ"/>
        </w:rPr>
        <w:t>2-5 am</w:t>
      </w:r>
      <w:r w:rsidR="00AC02DB" w:rsidRPr="00712D7E">
        <w:rPr>
          <w:rFonts w:ascii="Arial" w:eastAsia="Times New Roman" w:hAnsi="Arial" w:cs="Arial"/>
          <w:lang w:eastAsia="en-NZ"/>
        </w:rPr>
        <w:t>) and pre-breakfast mean</w:t>
      </w:r>
      <w:r w:rsidR="00AC02DB" w:rsidRPr="00712D7E">
        <w:t xml:space="preserve"> </w:t>
      </w:r>
      <w:r w:rsidR="00AC02DB" w:rsidRPr="00712D7E">
        <w:rPr>
          <w:rFonts w:ascii="Arial" w:eastAsia="Times New Roman" w:hAnsi="Arial" w:cs="Arial"/>
          <w:lang w:eastAsia="en-NZ"/>
        </w:rPr>
        <w:t>(6:30</w:t>
      </w:r>
      <w:r w:rsidR="00F645CA">
        <w:rPr>
          <w:rFonts w:ascii="Arial" w:eastAsia="Times New Roman" w:hAnsi="Arial" w:cs="Arial"/>
          <w:lang w:eastAsia="en-NZ"/>
        </w:rPr>
        <w:t>-8 am</w:t>
      </w:r>
      <w:r w:rsidR="00AC02DB" w:rsidRPr="00712D7E">
        <w:rPr>
          <w:rFonts w:ascii="Arial" w:eastAsia="Times New Roman" w:hAnsi="Arial" w:cs="Arial"/>
          <w:lang w:eastAsia="en-NZ"/>
        </w:rPr>
        <w:t>) under controlled fasting conditions. Agreement was assessed by Bland–Altman analysis.</w:t>
      </w:r>
    </w:p>
    <w:p w14:paraId="1BDF9FDC" w14:textId="144FE007" w:rsidR="000A728D" w:rsidRPr="00BB2842" w:rsidRDefault="000A728D" w:rsidP="000A728D">
      <w:pPr>
        <w:rPr>
          <w:rFonts w:ascii="Arial" w:eastAsia="Times New Roman" w:hAnsi="Arial" w:cs="Arial"/>
          <w:lang w:eastAsia="en-NZ"/>
        </w:rPr>
      </w:pPr>
      <w:r w:rsidRPr="00712D7E">
        <w:rPr>
          <w:rFonts w:ascii="Arial" w:eastAsia="Times New Roman" w:hAnsi="Arial" w:cs="Arial"/>
          <w:b/>
          <w:bCs/>
          <w:lang w:eastAsia="en-NZ"/>
        </w:rPr>
        <w:t>Results:</w:t>
      </w:r>
      <w:r w:rsidR="00E97285" w:rsidRPr="00712D7E">
        <w:rPr>
          <w:rFonts w:ascii="Arial" w:eastAsia="Times New Roman" w:hAnsi="Arial" w:cs="Arial"/>
          <w:lang w:eastAsia="en-NZ"/>
        </w:rPr>
        <w:t xml:space="preserve"> </w:t>
      </w:r>
      <w:r w:rsidR="00AC02DB" w:rsidRPr="00712D7E">
        <w:rPr>
          <w:rFonts w:ascii="Arial" w:eastAsia="Times New Roman" w:hAnsi="Arial" w:cs="Arial"/>
          <w:lang w:eastAsia="en-NZ"/>
        </w:rPr>
        <w:t>The P</w:t>
      </w:r>
      <w:r w:rsidR="00AC02DB" w:rsidRPr="00712D7E">
        <w:rPr>
          <w:rFonts w:ascii="Cambria Math" w:eastAsia="Times New Roman" w:hAnsi="Cambria Math" w:cs="Cambria Math"/>
          <w:lang w:eastAsia="en-NZ"/>
        </w:rPr>
        <w:t>₃₅</w:t>
      </w:r>
      <w:r w:rsidR="00AC02DB" w:rsidRPr="00712D7E">
        <w:rPr>
          <w:rFonts w:ascii="Arial" w:eastAsia="Times New Roman" w:hAnsi="Arial" w:cs="Arial"/>
          <w:lang w:eastAsia="en-NZ"/>
        </w:rPr>
        <w:t xml:space="preserve"> showed the smallest bias against the nocturnal reference under both ward (0.011 [−0.046, 0.068] mmol/L) and free-living conditions (−0.002 [−0.028, 0.024] mmol/L), whereas P</w:t>
      </w:r>
      <w:r w:rsidR="00AC02DB" w:rsidRPr="00712D7E">
        <w:rPr>
          <w:rFonts w:ascii="Cambria Math" w:eastAsia="Times New Roman" w:hAnsi="Cambria Math" w:cs="Cambria Math"/>
          <w:lang w:eastAsia="en-NZ"/>
        </w:rPr>
        <w:t>₅₀</w:t>
      </w:r>
      <w:r w:rsidR="00AC02DB" w:rsidRPr="00712D7E">
        <w:rPr>
          <w:rFonts w:ascii="Arial" w:eastAsia="Times New Roman" w:hAnsi="Arial" w:cs="Arial"/>
          <w:lang w:eastAsia="en-NZ"/>
        </w:rPr>
        <w:t xml:space="preserve"> best matched the pre-breakfast reference under supervised fasting conditions (−0.031 [−0.093, 0.031] mmol/L). </w:t>
      </w:r>
    </w:p>
    <w:p w14:paraId="484FA34F" w14:textId="5F0ABC8E" w:rsidR="00830A4D" w:rsidRPr="00712D7E" w:rsidRDefault="000A728D" w:rsidP="00E97285">
      <w:pPr>
        <w:rPr>
          <w:rFonts w:ascii="Arial" w:eastAsia="Times New Roman" w:hAnsi="Arial" w:cs="Arial"/>
          <w:lang w:eastAsia="en-NZ"/>
        </w:rPr>
      </w:pPr>
      <w:r w:rsidRPr="00712D7E">
        <w:rPr>
          <w:rFonts w:ascii="Arial" w:eastAsia="Times New Roman" w:hAnsi="Arial" w:cs="Arial"/>
          <w:b/>
          <w:bCs/>
          <w:lang w:eastAsia="en-NZ"/>
        </w:rPr>
        <w:t>Conclusion:</w:t>
      </w:r>
      <w:r w:rsidR="00E97285" w:rsidRPr="00712D7E">
        <w:t xml:space="preserve"> </w:t>
      </w:r>
      <w:r w:rsidR="00E97285" w:rsidRPr="00712D7E">
        <w:rPr>
          <w:rFonts w:ascii="Arial" w:eastAsia="Times New Roman" w:hAnsi="Arial" w:cs="Arial"/>
          <w:lang w:eastAsia="en-NZ"/>
        </w:rPr>
        <w:t xml:space="preserve">In adults at risk of </w:t>
      </w:r>
      <w:r w:rsidR="00D1172F" w:rsidRPr="00712D7E">
        <w:rPr>
          <w:rFonts w:ascii="Arial" w:eastAsia="Times New Roman" w:hAnsi="Arial" w:cs="Arial"/>
          <w:lang w:eastAsia="en-NZ"/>
        </w:rPr>
        <w:t>T2DM</w:t>
      </w:r>
      <w:r w:rsidR="00E97285" w:rsidRPr="00712D7E">
        <w:rPr>
          <w:rFonts w:ascii="Arial" w:eastAsia="Times New Roman" w:hAnsi="Arial" w:cs="Arial"/>
          <w:lang w:eastAsia="en-NZ"/>
        </w:rPr>
        <w:t>, P</w:t>
      </w:r>
      <w:r w:rsidR="00E97285" w:rsidRPr="00712D7E">
        <w:rPr>
          <w:rFonts w:ascii="Cambria Math" w:eastAsia="Times New Roman" w:hAnsi="Cambria Math" w:cs="Cambria Math"/>
          <w:lang w:eastAsia="en-NZ"/>
        </w:rPr>
        <w:t>₃₅</w:t>
      </w:r>
      <w:r w:rsidR="00E97285" w:rsidRPr="00712D7E">
        <w:rPr>
          <w:rFonts w:ascii="Arial" w:eastAsia="Times New Roman" w:hAnsi="Arial" w:cs="Arial"/>
          <w:lang w:eastAsia="en-NZ"/>
        </w:rPr>
        <w:t xml:space="preserve"> was the most suitable rolling percentile threshold for estimating the nocturnal baseline, whereas P</w:t>
      </w:r>
      <w:r w:rsidR="00E97285" w:rsidRPr="00712D7E">
        <w:rPr>
          <w:rFonts w:ascii="Cambria Math" w:eastAsia="Times New Roman" w:hAnsi="Cambria Math" w:cs="Cambria Math"/>
          <w:lang w:eastAsia="en-NZ"/>
        </w:rPr>
        <w:t>₅₀</w:t>
      </w:r>
      <w:r w:rsidR="00E97285" w:rsidRPr="00712D7E">
        <w:rPr>
          <w:rFonts w:ascii="Arial" w:eastAsia="Times New Roman" w:hAnsi="Arial" w:cs="Arial"/>
          <w:lang w:eastAsia="en-NZ"/>
        </w:rPr>
        <w:t xml:space="preserve"> better reflected the pre-breakfast state.</w:t>
      </w:r>
      <w:r w:rsidR="009F25C6" w:rsidRPr="00712D7E">
        <w:rPr>
          <w:rFonts w:ascii="Arial" w:eastAsia="Times New Roman" w:hAnsi="Arial" w:cs="Arial"/>
          <w:lang w:eastAsia="en-NZ"/>
        </w:rPr>
        <w:t xml:space="preserve"> </w:t>
      </w:r>
      <w:r w:rsidR="00682D8D" w:rsidRPr="00712D7E">
        <w:rPr>
          <w:rFonts w:ascii="Arial" w:eastAsia="Times New Roman" w:hAnsi="Arial" w:cs="Arial"/>
          <w:lang w:eastAsia="en-NZ"/>
        </w:rPr>
        <w:t>Both thresholds</w:t>
      </w:r>
      <w:r w:rsidR="00AC7C22" w:rsidRPr="00712D7E">
        <w:rPr>
          <w:rFonts w:ascii="Arial" w:eastAsia="Times New Roman" w:hAnsi="Arial" w:cs="Arial"/>
          <w:lang w:eastAsia="en-NZ"/>
        </w:rPr>
        <w:t xml:space="preserve"> </w:t>
      </w:r>
      <w:r w:rsidR="00682D8D" w:rsidRPr="00712D7E">
        <w:rPr>
          <w:rFonts w:ascii="Arial" w:eastAsia="Times New Roman" w:hAnsi="Arial" w:cs="Arial"/>
          <w:lang w:eastAsia="en-NZ"/>
        </w:rPr>
        <w:t>may be affected by prolonged preceding eating, which tended to inflate rolling percentile estimates</w:t>
      </w:r>
      <w:r w:rsidR="00B57188" w:rsidRPr="00712D7E">
        <w:rPr>
          <w:rFonts w:ascii="Arial" w:eastAsia="Times New Roman" w:hAnsi="Arial" w:cs="Arial"/>
          <w:lang w:eastAsia="en-NZ"/>
        </w:rPr>
        <w:t>.</w:t>
      </w:r>
    </w:p>
    <w:p w14:paraId="7E4C9820" w14:textId="77777777" w:rsidR="00584BA8" w:rsidRPr="00712D7E" w:rsidRDefault="00584BA8" w:rsidP="00E97285">
      <w:pPr>
        <w:rPr>
          <w:rFonts w:ascii="Arial" w:eastAsia="Times New Roman" w:hAnsi="Arial" w:cs="Arial"/>
          <w:i/>
          <w:iCs/>
          <w:lang w:eastAsia="en-NZ"/>
        </w:rPr>
      </w:pPr>
    </w:p>
    <w:p w14:paraId="30D64825" w14:textId="2CECBD3D" w:rsidR="00584BA8" w:rsidRDefault="00BB2842" w:rsidP="00E97285">
      <w:pPr>
        <w:rPr>
          <w:rFonts w:ascii="Arial" w:eastAsia="Times New Roman" w:hAnsi="Arial" w:cs="Arial"/>
          <w:i/>
          <w:iCs/>
          <w:lang w:eastAsia="en-NZ"/>
        </w:rPr>
      </w:pPr>
      <w:r>
        <w:rPr>
          <w:rFonts w:ascii="Arial" w:eastAsia="Times New Roman" w:hAnsi="Arial" w:cs="Arial"/>
          <w:i/>
          <w:iCs/>
          <w:noProof/>
          <w:lang w:eastAsia="en-NZ"/>
        </w:rPr>
        <w:drawing>
          <wp:inline distT="0" distB="0" distL="0" distR="0" wp14:anchorId="3378416C" wp14:editId="0F9E372B">
            <wp:extent cx="5731510" cy="3206750"/>
            <wp:effectExtent l="0" t="0" r="0" b="6350"/>
            <wp:docPr id="115899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99856" name="Picture 11589985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50AF0" w14:textId="6BA17E0B" w:rsidR="00F645CA" w:rsidRPr="00712D7E" w:rsidRDefault="00F645CA" w:rsidP="00E97285">
      <w:pPr>
        <w:rPr>
          <w:rFonts w:ascii="Arial" w:eastAsia="Times New Roman" w:hAnsi="Arial" w:cs="Arial" w:hint="eastAsia"/>
          <w:i/>
          <w:iCs/>
          <w:lang w:eastAsia="zh-CN"/>
        </w:rPr>
      </w:pPr>
    </w:p>
    <w:sectPr w:rsidR="00F645CA" w:rsidRPr="00712D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tlas Grotesk Regular">
    <w:altName w:val="Calibri"/>
    <w:panose1 w:val="020B0604020202020204"/>
    <w:charset w:val="00"/>
    <w:family w:val="moder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109A"/>
    <w:multiLevelType w:val="hybridMultilevel"/>
    <w:tmpl w:val="B08C5F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73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040547"/>
    <w:rsid w:val="0005380F"/>
    <w:rsid w:val="00071DB2"/>
    <w:rsid w:val="00093C33"/>
    <w:rsid w:val="000A728D"/>
    <w:rsid w:val="000B63DD"/>
    <w:rsid w:val="001870BB"/>
    <w:rsid w:val="001D4589"/>
    <w:rsid w:val="00207776"/>
    <w:rsid w:val="0028124D"/>
    <w:rsid w:val="00302C54"/>
    <w:rsid w:val="00312FED"/>
    <w:rsid w:val="00374D40"/>
    <w:rsid w:val="00376B39"/>
    <w:rsid w:val="00476D63"/>
    <w:rsid w:val="004E09DD"/>
    <w:rsid w:val="00567830"/>
    <w:rsid w:val="00584BA8"/>
    <w:rsid w:val="0061166D"/>
    <w:rsid w:val="0067595B"/>
    <w:rsid w:val="00682D8D"/>
    <w:rsid w:val="006D218D"/>
    <w:rsid w:val="00712D7E"/>
    <w:rsid w:val="007244F0"/>
    <w:rsid w:val="00740D3B"/>
    <w:rsid w:val="00830A4D"/>
    <w:rsid w:val="008427FA"/>
    <w:rsid w:val="008953CF"/>
    <w:rsid w:val="00927C90"/>
    <w:rsid w:val="009A582D"/>
    <w:rsid w:val="009D79DB"/>
    <w:rsid w:val="009F25C6"/>
    <w:rsid w:val="00A421EA"/>
    <w:rsid w:val="00A85759"/>
    <w:rsid w:val="00AC02DB"/>
    <w:rsid w:val="00AC7C22"/>
    <w:rsid w:val="00AD7511"/>
    <w:rsid w:val="00B57188"/>
    <w:rsid w:val="00B72D41"/>
    <w:rsid w:val="00BB2842"/>
    <w:rsid w:val="00BC73E4"/>
    <w:rsid w:val="00BD47EF"/>
    <w:rsid w:val="00C43B79"/>
    <w:rsid w:val="00C47904"/>
    <w:rsid w:val="00C47BB1"/>
    <w:rsid w:val="00CB5B1C"/>
    <w:rsid w:val="00D1172F"/>
    <w:rsid w:val="00D445F4"/>
    <w:rsid w:val="00D5132E"/>
    <w:rsid w:val="00D56368"/>
    <w:rsid w:val="00D63793"/>
    <w:rsid w:val="00D86E3B"/>
    <w:rsid w:val="00DD0D64"/>
    <w:rsid w:val="00E1132A"/>
    <w:rsid w:val="00E14881"/>
    <w:rsid w:val="00E95175"/>
    <w:rsid w:val="00E97285"/>
    <w:rsid w:val="00EA579E"/>
    <w:rsid w:val="00EB3175"/>
    <w:rsid w:val="00EE76BF"/>
    <w:rsid w:val="00F30F81"/>
    <w:rsid w:val="00F645CA"/>
    <w:rsid w:val="00FA57FA"/>
    <w:rsid w:val="00FE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="SimSun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CB5B1C"/>
    <w:rPr>
      <w:rFonts w:ascii="Calibri" w:eastAsia="Times New Roman" w:hAnsi="Calibri" w:cs="Calibri"/>
      <w:lang w:eastAsia="en-NZ"/>
    </w:rPr>
  </w:style>
  <w:style w:type="paragraph" w:styleId="ListParagraph">
    <w:name w:val="List Paragraph"/>
    <w:basedOn w:val="Normal"/>
    <w:uiPriority w:val="34"/>
    <w:qFormat/>
    <w:rsid w:val="00CB5B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077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7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7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77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07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1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CACC6A-3005-43E3-A4A9-813B8A2A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yt</cp:lastModifiedBy>
  <cp:revision>3</cp:revision>
  <dcterms:created xsi:type="dcterms:W3CDTF">2026-03-16T03:53:00Z</dcterms:created>
  <dcterms:modified xsi:type="dcterms:W3CDTF">2026-03-16T04:26:00Z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