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0"/>
      </w:tblGrid>
      <w:tr w:rsidR="001564A4" w:rsidRPr="0050053A" w14:paraId="5C38377B" w14:textId="77777777" w:rsidTr="0027688D">
        <w:trPr>
          <w:trHeight w:val="699"/>
          <w:jc w:val="center"/>
        </w:trPr>
        <w:tc>
          <w:tcPr>
            <w:tcW w:w="8580" w:type="dxa"/>
            <w:shd w:val="clear" w:color="auto" w:fill="auto"/>
          </w:tcPr>
          <w:p w14:paraId="5C44F357" w14:textId="64EE098B" w:rsidR="001564A4" w:rsidRPr="0050053A" w:rsidRDefault="005F5CE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5F5CE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Us</w:t>
            </w:r>
            <w:r w:rsidR="001B18D1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age</w:t>
            </w:r>
            <w:r w:rsidRPr="005F5CE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</w:t>
            </w:r>
            <w:r w:rsidR="000566BA" w:rsidRPr="000566BA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of biologic therapies for severe asthma from a nationally representative population survey</w:t>
            </w:r>
          </w:p>
        </w:tc>
      </w:tr>
      <w:tr w:rsidR="001564A4" w:rsidRPr="0050053A" w14:paraId="0E2E035C" w14:textId="77777777" w:rsidTr="0027688D">
        <w:trPr>
          <w:trHeight w:val="653"/>
          <w:jc w:val="center"/>
        </w:trPr>
        <w:tc>
          <w:tcPr>
            <w:tcW w:w="8580" w:type="dxa"/>
            <w:shd w:val="clear" w:color="auto" w:fill="auto"/>
          </w:tcPr>
          <w:p w14:paraId="73B55295" w14:textId="66E7CCD4" w:rsidR="001564A4" w:rsidRPr="00A23BCC" w:rsidRDefault="005F5CEF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Helen Reddel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27688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,2,3,4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A23BC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Rosario Ampon</w:t>
            </w:r>
            <w:r w:rsidR="00A23BC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23BC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23BCC" w:rsidRPr="00A405CF">
              <w:rPr>
                <w:rFonts w:ascii="Arial" w:hAnsi="Arial" w:cs="Arial"/>
                <w:sz w:val="22"/>
                <w:szCs w:val="22"/>
                <w:lang w:val="en-US" w:eastAsia="en-GB"/>
              </w:rPr>
              <w:t>Leanne Poulos</w:t>
            </w:r>
            <w:r w:rsidR="00A23BCC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23BCC" w:rsidRPr="00A405C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23BCC">
              <w:rPr>
                <w:rFonts w:ascii="Arial" w:hAnsi="Arial" w:cs="Arial"/>
                <w:sz w:val="22"/>
                <w:szCs w:val="22"/>
                <w:lang w:val="en-US" w:eastAsia="en-GB"/>
              </w:rPr>
              <w:t>Taehoon Lee</w:t>
            </w:r>
            <w:r w:rsidR="00A23BC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27688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A23BC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23BCC" w:rsidRPr="00A405CF">
              <w:rPr>
                <w:rFonts w:ascii="Arial" w:hAnsi="Arial" w:cs="Arial"/>
                <w:sz w:val="22"/>
                <w:szCs w:val="22"/>
                <w:lang w:val="en-US" w:eastAsia="en-GB"/>
              </w:rPr>
              <w:t>Brett Toelle</w:t>
            </w:r>
            <w:r w:rsidR="00A23BCC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7688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,2,6</w:t>
            </w:r>
            <w:r w:rsidR="00A23BCC" w:rsidRPr="00A405CF">
              <w:rPr>
                <w:rFonts w:ascii="Arial" w:hAnsi="Arial" w:cs="Arial"/>
                <w:sz w:val="22"/>
                <w:szCs w:val="22"/>
                <w:lang w:val="en-US" w:eastAsia="en-GB"/>
              </w:rPr>
              <w:t>, Guy Marks</w:t>
            </w:r>
            <w:r w:rsidR="00A23BCC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7688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,7</w:t>
            </w:r>
            <w:r w:rsidR="00A23BCC" w:rsidRPr="00A405CF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A23BC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Sharon Davis</w:t>
            </w:r>
            <w:r w:rsidR="00A23BC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27688D">
        <w:trPr>
          <w:trHeight w:val="2591"/>
          <w:jc w:val="center"/>
        </w:trPr>
        <w:tc>
          <w:tcPr>
            <w:tcW w:w="8580" w:type="dxa"/>
            <w:shd w:val="clear" w:color="auto" w:fill="auto"/>
          </w:tcPr>
          <w:p w14:paraId="1643A330" w14:textId="08CDBB5A" w:rsidR="001564A4" w:rsidRPr="0050053A" w:rsidRDefault="00A23BCC" w:rsidP="0027688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A405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Australian Centre for Airways disease Monitoring, Woolcock Institute of Medical Research,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Macquarie </w:t>
            </w:r>
            <w:r w:rsidRPr="00A405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y</w:t>
            </w:r>
            <w:r w:rsidRPr="00A405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3C488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</w:t>
            </w:r>
            <w:r w:rsidRPr="00A405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3BD815D8" w14:textId="300CED39" w:rsidR="001564A4" w:rsidRPr="0027688D" w:rsidRDefault="001564A4" w:rsidP="0027688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7688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23BCC" w:rsidRPr="002768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27688D" w:rsidRPr="002768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 Local Health District, Sydney, Australia</w:t>
            </w:r>
          </w:p>
          <w:p w14:paraId="6BCADC27" w14:textId="5F70A75C" w:rsidR="001564A4" w:rsidRPr="0050053A" w:rsidRDefault="001564A4" w:rsidP="0027688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7688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27688D" w:rsidRPr="0027688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27688D" w:rsidRPr="002768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Macquarie Medical School, Faculty of Medicine, Health and Human Sciences, Macquarie University, Sydney, Australia</w:t>
            </w:r>
          </w:p>
          <w:p w14:paraId="606CB874" w14:textId="32CBCD50" w:rsidR="001564A4" w:rsidRPr="0027688D" w:rsidRDefault="001564A4" w:rsidP="0027688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27688D">
              <w:t xml:space="preserve"> </w:t>
            </w:r>
            <w:r w:rsidR="0027688D" w:rsidRPr="002768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Faculty of Medicine and Health, The University of Sydney, Sydney, Australia</w:t>
            </w:r>
          </w:p>
          <w:p w14:paraId="510F1DBE" w14:textId="77777777" w:rsidR="001564A4" w:rsidRDefault="001564A4" w:rsidP="0027688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1B18D1" w:rsidRPr="00A23BC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Ulsan University Hospital, Korea</w:t>
            </w:r>
          </w:p>
          <w:p w14:paraId="3EFE8C5D" w14:textId="77777777" w:rsidR="0027688D" w:rsidRDefault="0027688D" w:rsidP="0027688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t xml:space="preserve"> </w:t>
            </w:r>
            <w:r w:rsidRPr="002768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Health Sciences, Faculty of Medicine, Health and Human Sciences, Macquarie University, Sydney, Australia</w:t>
            </w:r>
          </w:p>
          <w:p w14:paraId="45ED36BF" w14:textId="0AB3F887" w:rsidR="0027688D" w:rsidRPr="0027688D" w:rsidRDefault="0027688D" w:rsidP="0027688D">
            <w:pPr>
              <w:spacing w:line="480" w:lineRule="auto"/>
              <w:rPr>
                <w:bCs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>
              <w:rPr>
                <w:bCs/>
              </w:rPr>
              <w:t xml:space="preserve"> </w:t>
            </w:r>
            <w:r w:rsidRPr="002768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Clinical Medicine, University of NSW, Sydney, Australia</w:t>
            </w:r>
          </w:p>
        </w:tc>
      </w:tr>
      <w:tr w:rsidR="001564A4" w:rsidRPr="0050053A" w14:paraId="6DAF615A" w14:textId="77777777" w:rsidTr="005F5CEF">
        <w:trPr>
          <w:trHeight w:hRule="exact" w:val="8662"/>
          <w:jc w:val="center"/>
        </w:trPr>
        <w:tc>
          <w:tcPr>
            <w:tcW w:w="858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482670B5" w:rsidR="001564A4" w:rsidRPr="005F5CEF" w:rsidRDefault="005F5CEF" w:rsidP="000A28E2">
            <w:pPr>
              <w:pStyle w:val="Pa12"/>
              <w:rPr>
                <w:rStyle w:val="A4"/>
                <w:color w:val="auto"/>
              </w:rPr>
            </w:pPr>
            <w:r w:rsidRPr="005F5CEF">
              <w:rPr>
                <w:sz w:val="22"/>
                <w:szCs w:val="22"/>
              </w:rPr>
              <w:t>Most data about usage of biologic therapies for severe allergic or eosinophilic asthma come from registries. We aimed to describe the use of biologics in a large nationally representative population of adult Australians with current asthma</w:t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01A84A62" w:rsidR="001564A4" w:rsidRPr="005F5CEF" w:rsidRDefault="005F5CEF" w:rsidP="000A28E2">
            <w:pPr>
              <w:pStyle w:val="Pa12"/>
              <w:rPr>
                <w:rStyle w:val="A4"/>
                <w:color w:val="auto"/>
              </w:rPr>
            </w:pPr>
            <w:r w:rsidRPr="005F5CEF">
              <w:rPr>
                <w:sz w:val="22"/>
                <w:szCs w:val="22"/>
              </w:rPr>
              <w:t xml:space="preserve">We conducted a cross-sectional survey of Australians aged ≥18 years with current asthma from large web-based survey panels in February/March 2021. Enrolment was stratified by gender, age-group and state/territory based on national data for people with asthma.  Difficult-to-treat or severe asthma was defined by ERS/ATS criteria: (a) taking medium/high dose ICS-LABA plus poor asthma control (ACT &lt;20) and/or urgent asthma healthcare in the previous year, and/or (b) taking maintenance OCS (&gt;3 months in previous year), and/or (c) prescribed biologic therapy (omalizumab, mepolizumab, </w:t>
            </w:r>
            <w:proofErr w:type="spellStart"/>
            <w:r w:rsidRPr="005F5CEF">
              <w:rPr>
                <w:sz w:val="22"/>
                <w:szCs w:val="22"/>
              </w:rPr>
              <w:t>benralizumab</w:t>
            </w:r>
            <w:proofErr w:type="spellEnd"/>
            <w:r w:rsidRPr="005F5CEF">
              <w:rPr>
                <w:sz w:val="22"/>
                <w:szCs w:val="22"/>
              </w:rPr>
              <w:t>) for severe asthma in the previous year. Questions included demographics and clinical characteristics, and, for those receiving biologic therapy in the last 3 months, factors which affected their use. Survey weights were applied where needed.</w:t>
            </w: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8E9A65B" w14:textId="77777777" w:rsidR="005F5CEF" w:rsidRPr="005F5CEF" w:rsidRDefault="005F5CEF" w:rsidP="005F5CEF">
            <w:pPr>
              <w:pStyle w:val="Pa12"/>
              <w:rPr>
                <w:sz w:val="22"/>
                <w:szCs w:val="22"/>
              </w:rPr>
            </w:pPr>
            <w:r w:rsidRPr="005F5CEF">
              <w:rPr>
                <w:sz w:val="22"/>
                <w:szCs w:val="22"/>
              </w:rPr>
              <w:t xml:space="preserve">Treatment with biologics in the last 3 months was reported by 171 participants, representing 13.2% of n=1313 participants with difficult-to-treat asthma and 2.9% of n=6,048 with current asthma (weighted proportions). Use of omalizumab was reported by n=109, mepolizumab n=36, and </w:t>
            </w:r>
            <w:proofErr w:type="spellStart"/>
            <w:r w:rsidRPr="005F5CEF">
              <w:rPr>
                <w:sz w:val="22"/>
                <w:szCs w:val="22"/>
              </w:rPr>
              <w:t>benralizumab</w:t>
            </w:r>
            <w:proofErr w:type="spellEnd"/>
            <w:r w:rsidRPr="005F5CEF">
              <w:rPr>
                <w:sz w:val="22"/>
                <w:szCs w:val="22"/>
              </w:rPr>
              <w:t xml:space="preserve"> n=26. </w:t>
            </w:r>
          </w:p>
          <w:p w14:paraId="652F7BE1" w14:textId="7424A4F6" w:rsidR="001564A4" w:rsidRPr="005F5CEF" w:rsidRDefault="005F5CEF" w:rsidP="000A28E2">
            <w:pPr>
              <w:pStyle w:val="Pa12"/>
              <w:rPr>
                <w:rStyle w:val="A4"/>
                <w:color w:val="auto"/>
              </w:rPr>
            </w:pPr>
            <w:r w:rsidRPr="005F5CEF">
              <w:rPr>
                <w:sz w:val="22"/>
                <w:szCs w:val="22"/>
              </w:rPr>
              <w:t>Similar proportions received their biologic therapy at a clinic</w:t>
            </w:r>
            <w:r w:rsidR="003C488C">
              <w:rPr>
                <w:sz w:val="22"/>
                <w:szCs w:val="22"/>
              </w:rPr>
              <w:t xml:space="preserve"> (48.0%)</w:t>
            </w:r>
            <w:r w:rsidRPr="005F5CEF">
              <w:rPr>
                <w:sz w:val="22"/>
                <w:szCs w:val="22"/>
              </w:rPr>
              <w:t xml:space="preserve"> or from a GP</w:t>
            </w:r>
            <w:r w:rsidR="003C488C">
              <w:rPr>
                <w:sz w:val="22"/>
                <w:szCs w:val="22"/>
              </w:rPr>
              <w:t xml:space="preserve"> (42.1%)</w:t>
            </w:r>
            <w:r w:rsidRPr="005F5CEF">
              <w:rPr>
                <w:sz w:val="22"/>
                <w:szCs w:val="22"/>
              </w:rPr>
              <w:t>. Most participants reported one or more practical issues affecting their use of biologic therapy, such as difficulty obtaining it from the pharmacy (49.7%), forgetting when it was due (50.3%), cost (50.9%), the time taken on injection day (48.5%), painful (38.6%) and allergic reactions (29.2%).</w:t>
            </w:r>
            <w:r w:rsidR="001564A4">
              <w:rPr>
                <w:sz w:val="22"/>
                <w:szCs w:val="22"/>
              </w:rPr>
              <w:br/>
            </w:r>
            <w:r w:rsidR="001564A4"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57FCBC82" w:rsidR="001564A4" w:rsidRPr="0050053A" w:rsidRDefault="005F5CEF" w:rsidP="000A28E2">
            <w:pPr>
              <w:pStyle w:val="Pa12"/>
              <w:rPr>
                <w:sz w:val="22"/>
                <w:szCs w:val="22"/>
              </w:rPr>
            </w:pPr>
            <w:r w:rsidRPr="005F5CEF">
              <w:rPr>
                <w:sz w:val="22"/>
                <w:szCs w:val="22"/>
              </w:rPr>
              <w:t>These findings from a nationally representative population give insights into use of biological therapies for severe asthma, and may assist in providing support for people receiving these therapies in the future.</w:t>
            </w:r>
          </w:p>
          <w:p w14:paraId="155EE008" w14:textId="77777777" w:rsidR="005F1990" w:rsidRDefault="001564A4" w:rsidP="000A28E2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3C1A6BCF" w:rsidR="001564A4" w:rsidRPr="005F1990" w:rsidRDefault="00A23BCC" w:rsidP="000A28E2">
            <w:pPr>
              <w:pStyle w:val="Pa12"/>
              <w:rPr>
                <w:bCs/>
                <w:color w:val="000000"/>
                <w:sz w:val="22"/>
                <w:szCs w:val="22"/>
              </w:rPr>
            </w:pPr>
            <w:r w:rsidRPr="00A23BCC">
              <w:rPr>
                <w:sz w:val="22"/>
                <w:szCs w:val="22"/>
              </w:rPr>
              <w:t>The Australian Centre for Airways disease Monitoring (ACAM) is a unit of the Woolcock Institute of Medical Research. ACAM funding include</w:t>
            </w:r>
            <w:r w:rsidR="005F1990">
              <w:rPr>
                <w:sz w:val="22"/>
                <w:szCs w:val="22"/>
              </w:rPr>
              <w:t xml:space="preserve">s NHMRC CRE, and </w:t>
            </w:r>
            <w:r w:rsidRPr="00A23BCC">
              <w:rPr>
                <w:sz w:val="22"/>
                <w:szCs w:val="22"/>
              </w:rPr>
              <w:t xml:space="preserve">investigator-initiated research grants from GlaxoSmithKline, </w:t>
            </w:r>
            <w:r w:rsidR="001B18D1">
              <w:rPr>
                <w:sz w:val="22"/>
                <w:szCs w:val="22"/>
              </w:rPr>
              <w:t xml:space="preserve">and </w:t>
            </w:r>
            <w:r w:rsidRPr="00A23BCC">
              <w:rPr>
                <w:sz w:val="22"/>
                <w:szCs w:val="22"/>
              </w:rPr>
              <w:t>AstraZeneca</w:t>
            </w:r>
            <w:r w:rsidR="001B18D1">
              <w:rPr>
                <w:sz w:val="22"/>
                <w:szCs w:val="22"/>
              </w:rPr>
              <w:t>.</w:t>
            </w:r>
            <w:r w:rsidR="005F1990">
              <w:rPr>
                <w:sz w:val="22"/>
                <w:szCs w:val="22"/>
              </w:rPr>
              <w:t xml:space="preserve"> 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66BA"/>
    <w:rsid w:val="001564A4"/>
    <w:rsid w:val="001B18D1"/>
    <w:rsid w:val="0027688D"/>
    <w:rsid w:val="003C488C"/>
    <w:rsid w:val="0051574E"/>
    <w:rsid w:val="005F1990"/>
    <w:rsid w:val="005F5CEF"/>
    <w:rsid w:val="008803FA"/>
    <w:rsid w:val="00A23BCC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Sharon Davis</cp:lastModifiedBy>
  <cp:revision>4</cp:revision>
  <dcterms:created xsi:type="dcterms:W3CDTF">2023-10-18T05:18:00Z</dcterms:created>
  <dcterms:modified xsi:type="dcterms:W3CDTF">2023-10-18T07:55:00Z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