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3C2A93" w14:textId="77777777" w:rsidR="00601FD5" w:rsidRPr="00A769AA" w:rsidRDefault="00601FD5" w:rsidP="00BF5C64">
      <w:pPr>
        <w:rPr>
          <w:rFonts w:ascii="Arial" w:hAnsi="Arial" w:cs="Arial"/>
          <w:sz w:val="22"/>
          <w:szCs w:val="22"/>
          <w:lang w:val="en-US"/>
        </w:rPr>
      </w:pPr>
    </w:p>
    <w:tbl>
      <w:tblPr>
        <w:tblStyle w:val="Tabellrutnt"/>
        <w:tblW w:w="864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8640"/>
      </w:tblGrid>
      <w:tr w:rsidR="00601FD5" w:rsidRPr="00A769AA" w14:paraId="76AA9CE6" w14:textId="77777777" w:rsidTr="00136DEF">
        <w:tc>
          <w:tcPr>
            <w:tcW w:w="8640" w:type="dxa"/>
          </w:tcPr>
          <w:p w14:paraId="550D34AC" w14:textId="009B4839" w:rsidR="00601FD5" w:rsidRPr="005F05EF" w:rsidRDefault="005F05EF" w:rsidP="00DE0A15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>”The school of health” –</w:t>
            </w:r>
            <w:r w:rsidR="00DE0A15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the national government, local authorities and university </w:t>
            </w:r>
            <w:r w:rsidR="00DE0A15">
              <w:rPr>
                <w:rFonts w:ascii="Arial" w:hAnsi="Arial" w:cs="Arial"/>
                <w:sz w:val="22"/>
                <w:szCs w:val="22"/>
                <w:lang w:val="en-US"/>
              </w:rPr>
              <w:t xml:space="preserve">in a joint effort 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to promote health </w:t>
            </w:r>
            <w:r w:rsidR="00220428">
              <w:rPr>
                <w:rFonts w:ascii="Arial" w:hAnsi="Arial" w:cs="Arial"/>
                <w:sz w:val="22"/>
                <w:szCs w:val="22"/>
                <w:lang w:val="en-US"/>
              </w:rPr>
              <w:t xml:space="preserve">literacy 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in arctic children and youth </w:t>
            </w:r>
          </w:p>
        </w:tc>
      </w:tr>
      <w:tr w:rsidR="00601FD5" w:rsidRPr="00A769AA" w14:paraId="29527BED" w14:textId="77777777" w:rsidTr="00136DEF">
        <w:trPr>
          <w:trHeight w:val="7663"/>
        </w:trPr>
        <w:tc>
          <w:tcPr>
            <w:tcW w:w="8640" w:type="dxa"/>
          </w:tcPr>
          <w:p w14:paraId="0D182B79" w14:textId="77777777" w:rsidR="00601FD5" w:rsidRPr="00A769AA" w:rsidRDefault="00601FD5" w:rsidP="003D5EA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bookmarkStart w:id="0" w:name="_GoBack"/>
            <w:r w:rsidRPr="00A769AA">
              <w:rPr>
                <w:rFonts w:ascii="Arial" w:hAnsi="Arial" w:cs="Arial"/>
                <w:b/>
                <w:sz w:val="22"/>
                <w:szCs w:val="22"/>
                <w:lang w:val="en-US"/>
              </w:rPr>
              <w:t>Setting/problem</w:t>
            </w:r>
          </w:p>
          <w:p w14:paraId="70F445C0" w14:textId="27739684" w:rsidR="00601FD5" w:rsidRPr="00777641" w:rsidRDefault="00B11467" w:rsidP="003D5E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>Children and youth in the arctic region of Sweden</w:t>
            </w:r>
            <w:r w:rsidR="008673E6">
              <w:rPr>
                <w:rFonts w:ascii="Arial" w:hAnsi="Arial" w:cs="Arial"/>
                <w:sz w:val="22"/>
                <w:szCs w:val="22"/>
                <w:lang w:val="en-US"/>
              </w:rPr>
              <w:t xml:space="preserve"> face challenges like decreased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 self-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>assessed overall health, in</w:t>
            </w:r>
            <w:r w:rsidR="008673E6" w:rsidRPr="00777641">
              <w:rPr>
                <w:rFonts w:ascii="Arial" w:hAnsi="Arial" w:cs="Arial"/>
                <w:sz w:val="22"/>
                <w:szCs w:val="22"/>
                <w:lang w:val="en-US"/>
              </w:rPr>
              <w:t>creased in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cidence of mental and somatic disorders and few reaches the recommended level of </w:t>
            </w:r>
            <w:r w:rsidR="008673E6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daily </w:t>
            </w:r>
            <w:r w:rsidR="00F92F44">
              <w:rPr>
                <w:rFonts w:ascii="Arial" w:hAnsi="Arial" w:cs="Arial"/>
                <w:sz w:val="22"/>
                <w:szCs w:val="22"/>
                <w:lang w:val="en-US"/>
              </w:rPr>
              <w:t xml:space="preserve">physical activity. 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Vulnerable groups are newly arrived, </w:t>
            </w:r>
            <w:proofErr w:type="spellStart"/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>LGBT</w:t>
            </w:r>
            <w:proofErr w:type="spellEnd"/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persons and young people with disabilities. The Swedish </w:t>
            </w:r>
            <w:r w:rsidR="00B54E6D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school has been criticized for </w:t>
            </w:r>
            <w:r w:rsidR="008673E6" w:rsidRPr="00777641">
              <w:rPr>
                <w:rFonts w:ascii="Arial" w:hAnsi="Arial" w:cs="Arial"/>
                <w:sz w:val="22"/>
                <w:szCs w:val="22"/>
                <w:lang w:val="en-US"/>
              </w:rPr>
              <w:t>poor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academic results and </w:t>
            </w:r>
            <w:r w:rsidR="00B54E6D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increased </w:t>
            </w:r>
            <w:r w:rsidRPr="00777641">
              <w:rPr>
                <w:rFonts w:ascii="Arial" w:hAnsi="Arial" w:cs="Arial"/>
                <w:sz w:val="22"/>
                <w:szCs w:val="22"/>
                <w:lang w:val="en-US"/>
              </w:rPr>
              <w:t>stress</w:t>
            </w:r>
            <w:r w:rsidR="00B54E6D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among students</w:t>
            </w:r>
            <w:r w:rsidR="008673E6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6624B9CE" w14:textId="77777777" w:rsidR="00601FD5" w:rsidRPr="00777641" w:rsidRDefault="00601FD5" w:rsidP="003D5EA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7641">
              <w:rPr>
                <w:rFonts w:ascii="Arial" w:hAnsi="Arial" w:cs="Arial"/>
                <w:b/>
                <w:sz w:val="22"/>
                <w:szCs w:val="22"/>
                <w:lang w:val="en-US"/>
              </w:rPr>
              <w:t>Intervention</w:t>
            </w:r>
          </w:p>
          <w:p w14:paraId="69D6995A" w14:textId="78830718" w:rsidR="00A769AA" w:rsidRPr="00777641" w:rsidRDefault="00886E31" w:rsidP="003D5E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ascii="Arial" w:hAnsi="Arial" w:cs="Arial"/>
                <w:sz w:val="22"/>
                <w:szCs w:val="22"/>
                <w:lang w:val="en-US"/>
              </w:rPr>
              <w:t>“The School of H</w:t>
            </w:r>
            <w:r w:rsidR="00A769A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ealth” </w:t>
            </w:r>
            <w:r w:rsidR="00777641">
              <w:rPr>
                <w:rFonts w:ascii="Arial" w:hAnsi="Arial" w:cs="Arial"/>
                <w:sz w:val="22"/>
                <w:szCs w:val="22"/>
                <w:lang w:val="en-US"/>
              </w:rPr>
              <w:t>echo</w:t>
            </w:r>
            <w:r w:rsidR="00A769A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82615">
              <w:rPr>
                <w:rFonts w:ascii="Arial" w:hAnsi="Arial" w:cs="Arial"/>
                <w:sz w:val="22"/>
                <w:szCs w:val="22"/>
                <w:lang w:val="en-US"/>
              </w:rPr>
              <w:t xml:space="preserve">a number of </w:t>
            </w:r>
            <w:r w:rsidR="00777641" w:rsidRPr="00777641">
              <w:rPr>
                <w:rFonts w:ascii="Arial" w:hAnsi="Arial" w:cs="Arial"/>
                <w:color w:val="0A1931"/>
                <w:sz w:val="22"/>
                <w:szCs w:val="22"/>
              </w:rPr>
              <w:t>the United Nation’s Sustainable Development Goals integrating health promotion, sustainable development and equity</w:t>
            </w:r>
            <w:r w:rsidR="00A769A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The aim </w:t>
            </w:r>
            <w:r w:rsid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is to 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increase health literacy and contribute to health equity among children and youth living in the </w:t>
            </w:r>
            <w:r w:rsidR="008673E6" w:rsidRPr="00777641">
              <w:rPr>
                <w:rFonts w:ascii="Arial" w:hAnsi="Arial" w:cs="Arial"/>
                <w:sz w:val="22"/>
                <w:szCs w:val="22"/>
                <w:lang w:val="en-US"/>
              </w:rPr>
              <w:t>arctic region</w:t>
            </w:r>
            <w:r w:rsidR="004E5FCE">
              <w:rPr>
                <w:rFonts w:ascii="Arial" w:hAnsi="Arial" w:cs="Arial"/>
                <w:sz w:val="22"/>
                <w:szCs w:val="22"/>
                <w:lang w:val="en-US"/>
              </w:rPr>
              <w:t xml:space="preserve"> in Sweden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777641">
              <w:rPr>
                <w:rFonts w:ascii="Arial" w:hAnsi="Arial" w:cs="Arial"/>
                <w:sz w:val="22"/>
                <w:szCs w:val="22"/>
                <w:lang w:val="en-US"/>
              </w:rPr>
              <w:t>T</w:t>
            </w:r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he Association of Local Authorities and 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the </w:t>
            </w:r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>County Council joined for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ce with </w:t>
            </w:r>
            <w:proofErr w:type="spellStart"/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>Luleå</w:t>
            </w:r>
            <w:proofErr w:type="spellEnd"/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University of Tec</w:t>
            </w:r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hnology to promote health literacy in the 51 </w:t>
            </w:r>
            <w:r w:rsidR="00386880" w:rsidRPr="00777641">
              <w:rPr>
                <w:rFonts w:ascii="Arial" w:hAnsi="Arial" w:cs="Arial"/>
                <w:sz w:val="22"/>
                <w:szCs w:val="22"/>
                <w:lang w:val="en-US"/>
              </w:rPr>
              <w:t>thousand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children and youth living in </w:t>
            </w:r>
            <w:proofErr w:type="spellStart"/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>Norrbotten</w:t>
            </w:r>
            <w:proofErr w:type="spellEnd"/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D63515" w:rsidRPr="00777641">
              <w:rPr>
                <w:rFonts w:ascii="Arial" w:hAnsi="Arial" w:cs="Arial"/>
                <w:sz w:val="22"/>
                <w:szCs w:val="22"/>
                <w:lang w:val="en-US"/>
              </w:rPr>
              <w:t>The</w:t>
            </w:r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Swedish government funded 6 health promoting school initiatives in 9 </w:t>
            </w:r>
            <w:r w:rsidR="004E5FCE">
              <w:rPr>
                <w:rFonts w:ascii="Arial" w:hAnsi="Arial" w:cs="Arial"/>
                <w:sz w:val="22"/>
                <w:szCs w:val="22"/>
                <w:lang w:val="en-US"/>
              </w:rPr>
              <w:t xml:space="preserve">of 14 </w:t>
            </w:r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>municipalities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D63515" w:rsidRPr="00777641">
              <w:rPr>
                <w:rFonts w:ascii="Arial" w:hAnsi="Arial" w:cs="Arial"/>
                <w:sz w:val="22"/>
                <w:szCs w:val="22"/>
                <w:lang w:val="en-US"/>
              </w:rPr>
              <w:t>totaling</w:t>
            </w:r>
            <w:r w:rsidR="00583C9A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 4 million Swedish Crowns</w:t>
            </w:r>
            <w:r w:rsidR="00B11467" w:rsidRPr="00777641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</w:p>
          <w:p w14:paraId="039555C5" w14:textId="77777777" w:rsidR="00601FD5" w:rsidRPr="00777641" w:rsidRDefault="00601FD5" w:rsidP="003D5EA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777641">
              <w:rPr>
                <w:rFonts w:ascii="Arial" w:hAnsi="Arial" w:cs="Arial"/>
                <w:b/>
                <w:sz w:val="22"/>
                <w:szCs w:val="22"/>
                <w:lang w:val="en-US"/>
              </w:rPr>
              <w:t>Outcomes</w:t>
            </w:r>
          </w:p>
          <w:p w14:paraId="2F2AD12A" w14:textId="188BFDD1" w:rsidR="00386880" w:rsidRPr="00386880" w:rsidRDefault="002E5B21" w:rsidP="003D5EA8">
            <w:pPr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By making a conscious choice to explore what is well,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l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ooking for good examples – success stories – </w:t>
            </w:r>
            <w:r w:rsidR="008673E6">
              <w:rPr>
                <w:rFonts w:ascii="Arial" w:hAnsi="Arial" w:cs="Arial"/>
                <w:sz w:val="22"/>
                <w:szCs w:val="22"/>
                <w:lang w:val="en-US"/>
              </w:rPr>
              <w:t xml:space="preserve">to </w:t>
            </w:r>
            <w:r w:rsidR="00386880">
              <w:rPr>
                <w:rFonts w:ascii="Arial" w:hAnsi="Arial" w:cs="Arial"/>
                <w:sz w:val="22"/>
                <w:szCs w:val="22"/>
                <w:lang w:val="en-US"/>
              </w:rPr>
              <w:t xml:space="preserve">learn from and build on we 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>identif</w:t>
            </w:r>
            <w:r w:rsidR="00386880">
              <w:rPr>
                <w:rFonts w:ascii="Arial" w:hAnsi="Arial" w:cs="Arial"/>
                <w:sz w:val="22"/>
                <w:szCs w:val="22"/>
                <w:lang w:val="en-US"/>
              </w:rPr>
              <w:t>ied for example: One municipality involved all students from pre-school to high school, all school staff and politicians to make a plan for health promoting school – participation and empowerment in action. One school increased the physical activity by 100% by making it part of the ordinary school day for all students and staff. Another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school decre</w:t>
            </w:r>
            <w:r w:rsidR="00350EFE">
              <w:rPr>
                <w:rFonts w:ascii="Arial" w:hAnsi="Arial" w:cs="Arial"/>
                <w:sz w:val="22"/>
                <w:szCs w:val="22"/>
                <w:lang w:val="en-US"/>
              </w:rPr>
              <w:t>ased the assault reports from 71</w:t>
            </w:r>
            <w:r w:rsidR="00331327">
              <w:rPr>
                <w:rFonts w:ascii="Arial" w:hAnsi="Arial" w:cs="Arial"/>
                <w:sz w:val="22"/>
                <w:szCs w:val="22"/>
                <w:lang w:val="en-US"/>
              </w:rPr>
              <w:t xml:space="preserve"> to 8</w:t>
            </w:r>
            <w:r w:rsidR="00846734">
              <w:rPr>
                <w:rFonts w:ascii="Arial" w:hAnsi="Arial" w:cs="Arial"/>
                <w:sz w:val="22"/>
                <w:szCs w:val="22"/>
                <w:lang w:val="en-US"/>
              </w:rPr>
              <w:t xml:space="preserve"> and s</w:t>
            </w:r>
            <w:r w:rsidR="004E5FCE">
              <w:rPr>
                <w:rFonts w:ascii="Arial" w:hAnsi="Arial" w:cs="Arial"/>
                <w:sz w:val="22"/>
                <w:szCs w:val="22"/>
                <w:lang w:val="en-US"/>
              </w:rPr>
              <w:t>tudent safety increased with 17</w:t>
            </w:r>
            <w:r w:rsidR="00846734">
              <w:rPr>
                <w:rFonts w:ascii="Arial" w:hAnsi="Arial" w:cs="Arial"/>
                <w:sz w:val="22"/>
                <w:szCs w:val="22"/>
                <w:lang w:val="en-US"/>
              </w:rPr>
              <w:t>%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3717">
              <w:rPr>
                <w:rFonts w:ascii="Arial" w:hAnsi="Arial" w:cs="Arial"/>
                <w:sz w:val="22"/>
                <w:szCs w:val="22"/>
                <w:lang w:val="en-US"/>
              </w:rPr>
              <w:t>after</w:t>
            </w:r>
            <w:r w:rsidR="00B54E6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FE3717">
              <w:rPr>
                <w:rFonts w:ascii="Arial" w:hAnsi="Arial" w:cs="Arial"/>
                <w:sz w:val="22"/>
                <w:szCs w:val="22"/>
                <w:lang w:val="en-US"/>
              </w:rPr>
              <w:t xml:space="preserve">building </w:t>
            </w:r>
            <w:r w:rsidR="00D63515">
              <w:rPr>
                <w:rFonts w:ascii="Arial" w:hAnsi="Arial" w:cs="Arial"/>
                <w:sz w:val="22"/>
                <w:szCs w:val="22"/>
                <w:lang w:val="en-US"/>
              </w:rPr>
              <w:t>a</w:t>
            </w:r>
            <w:r w:rsidR="00B54E6D">
              <w:rPr>
                <w:rFonts w:ascii="Arial" w:hAnsi="Arial" w:cs="Arial"/>
                <w:sz w:val="22"/>
                <w:szCs w:val="22"/>
                <w:lang w:val="en-US"/>
              </w:rPr>
              <w:t xml:space="preserve"> health </w:t>
            </w:r>
            <w:r w:rsidR="00386880">
              <w:rPr>
                <w:rFonts w:ascii="Arial" w:hAnsi="Arial" w:cs="Arial"/>
                <w:sz w:val="22"/>
                <w:szCs w:val="22"/>
                <w:lang w:val="en-US"/>
              </w:rPr>
              <w:t xml:space="preserve">promoting school </w:t>
            </w:r>
            <w:r w:rsidR="00886E31">
              <w:rPr>
                <w:rFonts w:ascii="Arial" w:hAnsi="Arial" w:cs="Arial"/>
                <w:sz w:val="22"/>
                <w:szCs w:val="22"/>
                <w:lang w:val="en-US"/>
              </w:rPr>
              <w:t>f</w:t>
            </w:r>
            <w:r w:rsidR="00846734">
              <w:rPr>
                <w:rFonts w:ascii="Arial" w:hAnsi="Arial" w:cs="Arial"/>
                <w:sz w:val="22"/>
                <w:szCs w:val="22"/>
                <w:lang w:val="en-US"/>
              </w:rPr>
              <w:t>ocusing on caring relationships</w:t>
            </w:r>
            <w:r w:rsidR="00FE3717">
              <w:rPr>
                <w:rFonts w:ascii="Arial" w:hAnsi="Arial" w:cs="Arial"/>
                <w:sz w:val="22"/>
                <w:szCs w:val="22"/>
                <w:lang w:val="en-US"/>
              </w:rPr>
              <w:t xml:space="preserve"> making </w:t>
            </w:r>
            <w:r w:rsidR="004E5FCE">
              <w:rPr>
                <w:rFonts w:ascii="Arial" w:hAnsi="Arial" w:cs="Arial"/>
                <w:sz w:val="22"/>
                <w:szCs w:val="22"/>
                <w:lang w:val="en-US"/>
              </w:rPr>
              <w:t xml:space="preserve">students and staff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>proud of their school.</w:t>
            </w:r>
            <w:r w:rsidR="00B54E6D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</w:p>
          <w:p w14:paraId="185DFE5F" w14:textId="77777777" w:rsidR="00601FD5" w:rsidRPr="00A769AA" w:rsidRDefault="00601FD5" w:rsidP="003D5EA8">
            <w:pPr>
              <w:rPr>
                <w:rFonts w:ascii="Arial" w:hAnsi="Arial" w:cs="Arial"/>
                <w:b/>
                <w:sz w:val="22"/>
                <w:szCs w:val="22"/>
                <w:lang w:val="en-US"/>
              </w:rPr>
            </w:pPr>
            <w:r w:rsidRPr="00A769AA">
              <w:rPr>
                <w:rFonts w:ascii="Arial" w:hAnsi="Arial" w:cs="Arial"/>
                <w:b/>
                <w:sz w:val="22"/>
                <w:szCs w:val="22"/>
                <w:lang w:val="en-US"/>
              </w:rPr>
              <w:t>Implications</w:t>
            </w:r>
          </w:p>
          <w:p w14:paraId="00571F25" w14:textId="48BFCB21" w:rsidR="00601FD5" w:rsidRPr="007A4BAE" w:rsidRDefault="00583C9A" w:rsidP="00F92F44">
            <w:pPr>
              <w:widowControl w:val="0"/>
              <w:autoSpaceDE w:val="0"/>
              <w:autoSpaceDN w:val="0"/>
              <w:adjustRightInd w:val="0"/>
              <w:spacing w:after="240"/>
              <w:rPr>
                <w:rFonts w:ascii="Arial" w:hAnsi="Arial" w:cs="Arial"/>
                <w:sz w:val="22"/>
                <w:szCs w:val="22"/>
                <w:lang w:val="en-US"/>
              </w:rPr>
            </w:pP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The results </w:t>
            </w:r>
            <w:r>
              <w:rPr>
                <w:rFonts w:ascii="Arial" w:hAnsi="Arial" w:cs="Arial"/>
                <w:sz w:val="22"/>
                <w:szCs w:val="22"/>
                <w:lang w:val="en-US"/>
              </w:rPr>
              <w:t xml:space="preserve">point to </w:t>
            </w:r>
            <w:r w:rsidR="002E5B21">
              <w:rPr>
                <w:rFonts w:ascii="Arial" w:hAnsi="Arial" w:cs="Arial"/>
                <w:sz w:val="22"/>
                <w:szCs w:val="22"/>
                <w:lang w:val="en-US"/>
              </w:rPr>
              <w:t xml:space="preserve">the success of collaboration across </w:t>
            </w:r>
            <w:r w:rsidR="005F05EF" w:rsidRPr="00A769AA">
              <w:rPr>
                <w:rFonts w:ascii="Arial" w:hAnsi="Arial" w:cs="Arial"/>
                <w:sz w:val="22"/>
                <w:szCs w:val="22"/>
                <w:lang w:val="en-US"/>
              </w:rPr>
              <w:t>government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>s</w:t>
            </w:r>
            <w:r w:rsidR="005F05EF" w:rsidRPr="00A769AA">
              <w:rPr>
                <w:rFonts w:ascii="Arial" w:hAnsi="Arial" w:cs="Arial"/>
                <w:sz w:val="22"/>
                <w:szCs w:val="22"/>
                <w:lang w:val="en-US"/>
              </w:rPr>
              <w:t>, local authorities and university to promote health in arctic children and youth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 sharing success stories </w:t>
            </w:r>
            <w:r w:rsidR="00F92F44">
              <w:rPr>
                <w:rFonts w:ascii="Arial" w:hAnsi="Arial" w:cs="Arial"/>
                <w:sz w:val="22"/>
                <w:szCs w:val="22"/>
                <w:lang w:val="en-US"/>
              </w:rPr>
              <w:t>to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promote health </w:t>
            </w:r>
            <w:r w:rsidR="002E5B21">
              <w:rPr>
                <w:rFonts w:ascii="Arial" w:hAnsi="Arial" w:cs="Arial"/>
                <w:sz w:val="22"/>
                <w:szCs w:val="22"/>
                <w:lang w:val="en-US"/>
              </w:rPr>
              <w:t>literacy</w:t>
            </w:r>
            <w:r w:rsidR="00F92F44">
              <w:rPr>
                <w:rFonts w:ascii="Arial" w:hAnsi="Arial" w:cs="Arial"/>
                <w:sz w:val="22"/>
                <w:szCs w:val="22"/>
                <w:lang w:val="en-US"/>
              </w:rPr>
              <w:t xml:space="preserve"> in students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. </w:t>
            </w:r>
            <w:r w:rsidR="002E5B21">
              <w:rPr>
                <w:rFonts w:ascii="Arial" w:hAnsi="Arial" w:cs="Arial"/>
                <w:sz w:val="22"/>
                <w:szCs w:val="22"/>
                <w:lang w:val="en-US"/>
              </w:rPr>
              <w:t xml:space="preserve">The next step is to 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address sustainability by </w:t>
            </w:r>
            <w:r w:rsidR="002E5B21">
              <w:rPr>
                <w:rFonts w:ascii="Arial" w:hAnsi="Arial" w:cs="Arial"/>
                <w:sz w:val="22"/>
                <w:szCs w:val="22"/>
                <w:lang w:val="en-US"/>
              </w:rPr>
              <w:t>build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>ing</w:t>
            </w:r>
            <w:r w:rsidR="002E5B21">
              <w:rPr>
                <w:rFonts w:ascii="Arial" w:hAnsi="Arial" w:cs="Arial"/>
                <w:sz w:val="22"/>
                <w:szCs w:val="22"/>
                <w:lang w:val="en-US"/>
              </w:rPr>
              <w:t xml:space="preserve"> an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 organization involving additional actors such as civil society and local businesses. Additionally, focusing on vulnerable groups making an extra effort to reach </w:t>
            </w:r>
            <w:r w:rsidR="005F05EF"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youth 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not in school, training or employment. </w:t>
            </w:r>
            <w:r w:rsidR="002E5B21">
              <w:rPr>
                <w:rFonts w:ascii="Arial" w:hAnsi="Arial" w:cs="Arial"/>
                <w:sz w:val="22"/>
                <w:szCs w:val="22"/>
                <w:lang w:val="en-US"/>
              </w:rPr>
              <w:t>Continued collaboration will systematically address and enable good condition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s to promote health literacy by </w:t>
            </w:r>
            <w:r w:rsidR="00D63515">
              <w:rPr>
                <w:rFonts w:ascii="Arial" w:hAnsi="Arial" w:cs="Arial"/>
                <w:sz w:val="22"/>
                <w:szCs w:val="22"/>
                <w:lang w:val="en-US"/>
              </w:rPr>
              <w:t>involving the</w:t>
            </w:r>
            <w:r w:rsidR="002E5B21" w:rsidRPr="00A769AA">
              <w:rPr>
                <w:rFonts w:ascii="Arial" w:hAnsi="Arial" w:cs="Arial"/>
                <w:sz w:val="22"/>
                <w:szCs w:val="22"/>
                <w:lang w:val="en-US"/>
              </w:rPr>
              <w:t xml:space="preserve"> political 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arena where education, </w:t>
            </w:r>
            <w:r w:rsidR="002E5B21" w:rsidRPr="00A769AA">
              <w:rPr>
                <w:rFonts w:ascii="Arial" w:hAnsi="Arial" w:cs="Arial"/>
                <w:sz w:val="22"/>
                <w:szCs w:val="22"/>
                <w:lang w:val="en-US"/>
              </w:rPr>
              <w:t>public health and health promotion</w:t>
            </w:r>
            <w:r w:rsidR="005F05EF">
              <w:rPr>
                <w:rFonts w:ascii="Arial" w:hAnsi="Arial" w:cs="Arial"/>
                <w:sz w:val="22"/>
                <w:szCs w:val="22"/>
                <w:lang w:val="en-US"/>
              </w:rPr>
              <w:t xml:space="preserve"> come together</w:t>
            </w:r>
            <w:r w:rsidR="002E5B21" w:rsidRPr="00A769AA">
              <w:rPr>
                <w:rFonts w:ascii="Arial" w:hAnsi="Arial" w:cs="Arial"/>
                <w:sz w:val="22"/>
                <w:szCs w:val="22"/>
                <w:lang w:val="en-US"/>
              </w:rPr>
              <w:t>.</w:t>
            </w:r>
            <w:r w:rsidR="00F92F44">
              <w:rPr>
                <w:rFonts w:ascii="Arial" w:hAnsi="Arial" w:cs="Arial"/>
                <w:sz w:val="22"/>
                <w:szCs w:val="22"/>
                <w:lang w:val="en-US"/>
              </w:rPr>
              <w:t xml:space="preserve"> </w:t>
            </w:r>
            <w:r w:rsidR="00601FD5" w:rsidRPr="00A769AA">
              <w:rPr>
                <w:rFonts w:ascii="Arial" w:hAnsi="Arial" w:cs="Arial"/>
                <w:b/>
                <w:sz w:val="22"/>
                <w:szCs w:val="22"/>
                <w:lang w:val="en-US"/>
              </w:rPr>
              <w:t>Preferred presentation format</w:t>
            </w:r>
            <w:r w:rsidR="00386880">
              <w:rPr>
                <w:rFonts w:ascii="Arial" w:hAnsi="Arial" w:cs="Arial"/>
                <w:b/>
                <w:sz w:val="22"/>
                <w:szCs w:val="22"/>
                <w:lang w:val="en-US"/>
              </w:rPr>
              <w:t xml:space="preserve"> </w:t>
            </w:r>
            <w:r w:rsidR="00601FD5" w:rsidRPr="00A769AA">
              <w:rPr>
                <w:rFonts w:ascii="Arial" w:hAnsi="Arial" w:cs="Arial"/>
                <w:sz w:val="22"/>
                <w:szCs w:val="22"/>
                <w:lang w:val="en-US"/>
              </w:rPr>
              <w:t>Poster</w:t>
            </w:r>
            <w:bookmarkEnd w:id="0"/>
          </w:p>
        </w:tc>
      </w:tr>
    </w:tbl>
    <w:p w14:paraId="1088D36B" w14:textId="250E9A5A" w:rsidR="00A15A0A" w:rsidRPr="00777641" w:rsidRDefault="00A15A0A" w:rsidP="00777641">
      <w:pPr>
        <w:tabs>
          <w:tab w:val="left" w:pos="768"/>
        </w:tabs>
        <w:rPr>
          <w:rFonts w:ascii="Arial" w:hAnsi="Arial" w:cs="Arial"/>
          <w:sz w:val="22"/>
          <w:szCs w:val="22"/>
          <w:lang w:val="en-US"/>
        </w:rPr>
      </w:pPr>
    </w:p>
    <w:sectPr w:rsidR="00A15A0A" w:rsidRPr="00777641" w:rsidSect="00795446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16C8D47" w14:textId="77777777" w:rsidR="00FE3717" w:rsidRDefault="00FE3717" w:rsidP="000114C8">
      <w:r>
        <w:separator/>
      </w:r>
    </w:p>
  </w:endnote>
  <w:endnote w:type="continuationSeparator" w:id="0">
    <w:p w14:paraId="3EEC861C" w14:textId="77777777" w:rsidR="00FE3717" w:rsidRDefault="00FE3717" w:rsidP="000114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00"/>
    <w:family w:val="auto"/>
    <w:pitch w:val="variable"/>
    <w:sig w:usb0="F7FFAFFF" w:usb1="E9DFFFFF" w:usb2="0000003F" w:usb3="00000000" w:csb0="003F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D9334D2" w14:textId="77777777" w:rsidR="00FE3717" w:rsidRDefault="00FE3717" w:rsidP="000114C8">
      <w:r>
        <w:separator/>
      </w:r>
    </w:p>
  </w:footnote>
  <w:footnote w:type="continuationSeparator" w:id="0">
    <w:p w14:paraId="44C9D07C" w14:textId="77777777" w:rsidR="00FE3717" w:rsidRDefault="00FE3717" w:rsidP="000114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/>
  <w:defaultTabStop w:val="1304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7AE9"/>
    <w:rsid w:val="000035EC"/>
    <w:rsid w:val="000114C8"/>
    <w:rsid w:val="00024716"/>
    <w:rsid w:val="00043E13"/>
    <w:rsid w:val="00100D4F"/>
    <w:rsid w:val="00101B26"/>
    <w:rsid w:val="0010610D"/>
    <w:rsid w:val="00136DEF"/>
    <w:rsid w:val="00160576"/>
    <w:rsid w:val="00171806"/>
    <w:rsid w:val="001823E8"/>
    <w:rsid w:val="00185903"/>
    <w:rsid w:val="001E62B6"/>
    <w:rsid w:val="001F36E0"/>
    <w:rsid w:val="00220428"/>
    <w:rsid w:val="002313D3"/>
    <w:rsid w:val="00246BF0"/>
    <w:rsid w:val="00246D5B"/>
    <w:rsid w:val="002526C9"/>
    <w:rsid w:val="00255A66"/>
    <w:rsid w:val="002641CD"/>
    <w:rsid w:val="002679B7"/>
    <w:rsid w:val="00267BCE"/>
    <w:rsid w:val="00280AE7"/>
    <w:rsid w:val="002E4633"/>
    <w:rsid w:val="002E4A76"/>
    <w:rsid w:val="002E5B21"/>
    <w:rsid w:val="002F433C"/>
    <w:rsid w:val="00301CEE"/>
    <w:rsid w:val="003044A4"/>
    <w:rsid w:val="00307965"/>
    <w:rsid w:val="0032379C"/>
    <w:rsid w:val="00326FDB"/>
    <w:rsid w:val="00330691"/>
    <w:rsid w:val="00331327"/>
    <w:rsid w:val="00337654"/>
    <w:rsid w:val="00350EFE"/>
    <w:rsid w:val="00386880"/>
    <w:rsid w:val="003B2BEB"/>
    <w:rsid w:val="003B7A97"/>
    <w:rsid w:val="003C606F"/>
    <w:rsid w:val="003D2115"/>
    <w:rsid w:val="003D5EA8"/>
    <w:rsid w:val="003F4D48"/>
    <w:rsid w:val="004107F9"/>
    <w:rsid w:val="004128CB"/>
    <w:rsid w:val="00432D6C"/>
    <w:rsid w:val="00460864"/>
    <w:rsid w:val="00460E7A"/>
    <w:rsid w:val="00497F69"/>
    <w:rsid w:val="004D2467"/>
    <w:rsid w:val="004E181E"/>
    <w:rsid w:val="004E5FCE"/>
    <w:rsid w:val="005140F3"/>
    <w:rsid w:val="00536E6B"/>
    <w:rsid w:val="0055397B"/>
    <w:rsid w:val="00561992"/>
    <w:rsid w:val="00581EB1"/>
    <w:rsid w:val="00583C9A"/>
    <w:rsid w:val="005E02AF"/>
    <w:rsid w:val="005F05EF"/>
    <w:rsid w:val="00601FD5"/>
    <w:rsid w:val="006121E6"/>
    <w:rsid w:val="0061758A"/>
    <w:rsid w:val="0064006F"/>
    <w:rsid w:val="006850A0"/>
    <w:rsid w:val="006911F5"/>
    <w:rsid w:val="006A546C"/>
    <w:rsid w:val="006C77EA"/>
    <w:rsid w:val="00712C67"/>
    <w:rsid w:val="00715266"/>
    <w:rsid w:val="00721B41"/>
    <w:rsid w:val="00741F52"/>
    <w:rsid w:val="00776380"/>
    <w:rsid w:val="00777641"/>
    <w:rsid w:val="0078567F"/>
    <w:rsid w:val="00795446"/>
    <w:rsid w:val="00797AE9"/>
    <w:rsid w:val="007A4BAE"/>
    <w:rsid w:val="007D3324"/>
    <w:rsid w:val="007E083C"/>
    <w:rsid w:val="007F6621"/>
    <w:rsid w:val="00804FFB"/>
    <w:rsid w:val="008363C1"/>
    <w:rsid w:val="00846734"/>
    <w:rsid w:val="008673E6"/>
    <w:rsid w:val="008835D7"/>
    <w:rsid w:val="00886E31"/>
    <w:rsid w:val="008C389C"/>
    <w:rsid w:val="00901328"/>
    <w:rsid w:val="0092054F"/>
    <w:rsid w:val="009372C9"/>
    <w:rsid w:val="0095535D"/>
    <w:rsid w:val="00960F28"/>
    <w:rsid w:val="00997DF4"/>
    <w:rsid w:val="009B625C"/>
    <w:rsid w:val="009C71DC"/>
    <w:rsid w:val="00A048F3"/>
    <w:rsid w:val="00A11F13"/>
    <w:rsid w:val="00A15A0A"/>
    <w:rsid w:val="00A32FA8"/>
    <w:rsid w:val="00A36EEE"/>
    <w:rsid w:val="00A7537D"/>
    <w:rsid w:val="00A769AA"/>
    <w:rsid w:val="00AB18A2"/>
    <w:rsid w:val="00AB4344"/>
    <w:rsid w:val="00AB4A5E"/>
    <w:rsid w:val="00B11467"/>
    <w:rsid w:val="00B134B6"/>
    <w:rsid w:val="00B14073"/>
    <w:rsid w:val="00B20C01"/>
    <w:rsid w:val="00B272B8"/>
    <w:rsid w:val="00B54128"/>
    <w:rsid w:val="00B54E6D"/>
    <w:rsid w:val="00BF2A03"/>
    <w:rsid w:val="00BF5C64"/>
    <w:rsid w:val="00C25A3E"/>
    <w:rsid w:val="00C35E05"/>
    <w:rsid w:val="00C36093"/>
    <w:rsid w:val="00C70B95"/>
    <w:rsid w:val="00C838E1"/>
    <w:rsid w:val="00C922E5"/>
    <w:rsid w:val="00C92EB7"/>
    <w:rsid w:val="00CB1DA4"/>
    <w:rsid w:val="00CC162B"/>
    <w:rsid w:val="00CC640A"/>
    <w:rsid w:val="00D21A19"/>
    <w:rsid w:val="00D34189"/>
    <w:rsid w:val="00D63515"/>
    <w:rsid w:val="00D67C3A"/>
    <w:rsid w:val="00D82615"/>
    <w:rsid w:val="00D85937"/>
    <w:rsid w:val="00DE0A15"/>
    <w:rsid w:val="00DE58A5"/>
    <w:rsid w:val="00E05E1B"/>
    <w:rsid w:val="00E2451F"/>
    <w:rsid w:val="00E4209A"/>
    <w:rsid w:val="00E9745D"/>
    <w:rsid w:val="00EE13C7"/>
    <w:rsid w:val="00EF740E"/>
    <w:rsid w:val="00F015F6"/>
    <w:rsid w:val="00F152B0"/>
    <w:rsid w:val="00F2268B"/>
    <w:rsid w:val="00F6024C"/>
    <w:rsid w:val="00F666E1"/>
    <w:rsid w:val="00F749C0"/>
    <w:rsid w:val="00F87D1E"/>
    <w:rsid w:val="00F92F44"/>
    <w:rsid w:val="00FA5F78"/>
    <w:rsid w:val="00FC7B1B"/>
    <w:rsid w:val="00FE011E"/>
    <w:rsid w:val="00FE3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3B1DF222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E9745D"/>
    <w:pPr>
      <w:keepNext/>
      <w:outlineLvl w:val="0"/>
    </w:pPr>
    <w:rPr>
      <w:rFonts w:ascii="Times New Roman" w:eastAsia="Times New Roman" w:hAnsi="Times New Roman" w:cs="Times New Roman"/>
      <w:sz w:val="32"/>
      <w:szCs w:val="32"/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valA">
    <w:name w:val="Förval A"/>
    <w:rsid w:val="00CC6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C640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C640A"/>
    <w:rPr>
      <w:rFonts w:ascii="Lucida Grande" w:hAnsi="Lucida Grande" w:cs="Lucida Grande"/>
      <w:sz w:val="18"/>
      <w:szCs w:val="18"/>
    </w:rPr>
  </w:style>
  <w:style w:type="character" w:customStyle="1" w:styleId="hps">
    <w:name w:val="hps"/>
    <w:basedOn w:val="Standardstycketypsnitt"/>
    <w:rsid w:val="00D85937"/>
  </w:style>
  <w:style w:type="character" w:styleId="Hyperlnk">
    <w:name w:val="Hyperlink"/>
    <w:basedOn w:val="Standardstycketypsnitt"/>
    <w:uiPriority w:val="99"/>
    <w:unhideWhenUsed/>
    <w:rsid w:val="00741F52"/>
    <w:rPr>
      <w:color w:val="0000FF" w:themeColor="hyperlink"/>
      <w:u w:val="single"/>
    </w:rPr>
  </w:style>
  <w:style w:type="character" w:customStyle="1" w:styleId="Rubrik1Char">
    <w:name w:val="Rubrik 1 Char"/>
    <w:basedOn w:val="Standardstycketypsnitt"/>
    <w:link w:val="Rubrik1"/>
    <w:rsid w:val="00E9745D"/>
    <w:rPr>
      <w:rFonts w:ascii="Times New Roman" w:eastAsia="Times New Roman" w:hAnsi="Times New Roman" w:cs="Times New Roman"/>
      <w:sz w:val="32"/>
      <w:szCs w:val="32"/>
      <w:lang w:val="en-GB"/>
    </w:rPr>
  </w:style>
  <w:style w:type="table" w:styleId="Tabellrutnt">
    <w:name w:val="Table Grid"/>
    <w:basedOn w:val="Normaltabell"/>
    <w:rsid w:val="00601FD5"/>
    <w:rPr>
      <w:rFonts w:ascii="Times New Roman" w:eastAsia="Times New Roman" w:hAnsi="Times New Roman" w:cs="Times New Roman"/>
      <w:sz w:val="20"/>
      <w:szCs w:val="20"/>
      <w:lang w:val="en-NZ"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sv-SE" w:eastAsia="sv-SE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qFormat/>
    <w:rsid w:val="00E9745D"/>
    <w:pPr>
      <w:keepNext/>
      <w:outlineLvl w:val="0"/>
    </w:pPr>
    <w:rPr>
      <w:rFonts w:ascii="Times New Roman" w:eastAsia="Times New Roman" w:hAnsi="Times New Roman" w:cs="Times New Roman"/>
      <w:sz w:val="32"/>
      <w:szCs w:val="32"/>
      <w:lang w:val="en-GB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FrvalA">
    <w:name w:val="Förval A"/>
    <w:rsid w:val="00CC640A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  <w:bdr w:val="nil"/>
    </w:rPr>
  </w:style>
  <w:style w:type="paragraph" w:styleId="Bubbeltext">
    <w:name w:val="Balloon Text"/>
    <w:basedOn w:val="Normal"/>
    <w:link w:val="BubbeltextChar"/>
    <w:uiPriority w:val="99"/>
    <w:semiHidden/>
    <w:unhideWhenUsed/>
    <w:rsid w:val="00CC640A"/>
    <w:rPr>
      <w:rFonts w:ascii="Lucida Grande" w:hAnsi="Lucida Grande" w:cs="Lucida Grande"/>
      <w:sz w:val="18"/>
      <w:szCs w:val="18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C640A"/>
    <w:rPr>
      <w:rFonts w:ascii="Lucida Grande" w:hAnsi="Lucida Grande" w:cs="Lucida Grande"/>
      <w:sz w:val="18"/>
      <w:szCs w:val="18"/>
    </w:rPr>
  </w:style>
  <w:style w:type="character" w:customStyle="1" w:styleId="hps">
    <w:name w:val="hps"/>
    <w:basedOn w:val="Standardstycketypsnitt"/>
    <w:rsid w:val="00D85937"/>
  </w:style>
  <w:style w:type="character" w:styleId="Hyperlnk">
    <w:name w:val="Hyperlink"/>
    <w:basedOn w:val="Standardstycketypsnitt"/>
    <w:uiPriority w:val="99"/>
    <w:unhideWhenUsed/>
    <w:rsid w:val="00741F52"/>
    <w:rPr>
      <w:color w:val="0000FF" w:themeColor="hyperlink"/>
      <w:u w:val="single"/>
    </w:rPr>
  </w:style>
  <w:style w:type="character" w:customStyle="1" w:styleId="Rubrik1Char">
    <w:name w:val="Rubrik 1 Char"/>
    <w:basedOn w:val="Standardstycketypsnitt"/>
    <w:link w:val="Rubrik1"/>
    <w:rsid w:val="00E9745D"/>
    <w:rPr>
      <w:rFonts w:ascii="Times New Roman" w:eastAsia="Times New Roman" w:hAnsi="Times New Roman" w:cs="Times New Roman"/>
      <w:sz w:val="32"/>
      <w:szCs w:val="32"/>
      <w:lang w:val="en-GB"/>
    </w:rPr>
  </w:style>
  <w:style w:type="table" w:styleId="Tabellrutnt">
    <w:name w:val="Table Grid"/>
    <w:basedOn w:val="Normaltabell"/>
    <w:rsid w:val="00601FD5"/>
    <w:rPr>
      <w:rFonts w:ascii="Times New Roman" w:eastAsia="Times New Roman" w:hAnsi="Times New Roman" w:cs="Times New Roman"/>
      <w:sz w:val="20"/>
      <w:szCs w:val="20"/>
      <w:lang w:val="en-NZ" w:eastAsia="en-NZ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394</Words>
  <Characters>2263</Characters>
  <Application>Microsoft Macintosh Word</Application>
  <DocSecurity>0</DocSecurity>
  <Lines>39</Lines>
  <Paragraphs>11</Paragraphs>
  <ScaleCrop>false</ScaleCrop>
  <Company>Kostenius Word</Company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Catrine Kostenius</dc:creator>
  <cp:keywords/>
  <dc:description/>
  <cp:lastModifiedBy>Catrine Kostenius</cp:lastModifiedBy>
  <cp:revision>2</cp:revision>
  <cp:lastPrinted>2018-08-08T12:10:00Z</cp:lastPrinted>
  <dcterms:created xsi:type="dcterms:W3CDTF">2018-08-27T16:59:00Z</dcterms:created>
  <dcterms:modified xsi:type="dcterms:W3CDTF">2018-08-27T16:59:00Z</dcterms:modified>
</cp:coreProperties>
</file>