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3"/>
      </w:tblGrid>
      <w:tr w:rsidR="001564A4" w:rsidRPr="0050053A" w14:paraId="5C38377B" w14:textId="77777777" w:rsidTr="005E3B6A">
        <w:trPr>
          <w:trHeight w:val="892"/>
          <w:jc w:val="center"/>
        </w:trPr>
        <w:tc>
          <w:tcPr>
            <w:tcW w:w="8623" w:type="dxa"/>
            <w:shd w:val="clear" w:color="auto" w:fill="auto"/>
          </w:tcPr>
          <w:p w14:paraId="5C44F357" w14:textId="49B10B91" w:rsidR="001564A4" w:rsidRPr="0050053A" w:rsidRDefault="005E3B6A" w:rsidP="000A28E2">
            <w:pPr>
              <w:spacing w:before="120" w:after="120"/>
              <w:rPr>
                <w:rFonts w:ascii="Arial" w:hAnsi="Arial" w:cs="Arial"/>
                <w:b/>
                <w:sz w:val="22"/>
                <w:szCs w:val="22"/>
                <w:lang w:val="en-US" w:eastAsia="zh-CN"/>
              </w:rPr>
            </w:pPr>
            <w:r>
              <w:rPr>
                <w:rFonts w:ascii="Arial" w:hAnsi="Arial"/>
                <w:b/>
                <w:bCs/>
                <w:sz w:val="22"/>
                <w:szCs w:val="22"/>
                <w:lang w:val="en-US"/>
              </w:rPr>
              <w:t xml:space="preserve">Therapeutic </w:t>
            </w:r>
            <w:r w:rsidR="003622DE">
              <w:rPr>
                <w:rFonts w:ascii="Arial" w:hAnsi="Arial"/>
                <w:b/>
                <w:bCs/>
                <w:sz w:val="22"/>
                <w:szCs w:val="22"/>
                <w:lang w:val="en-US"/>
              </w:rPr>
              <w:t>d</w:t>
            </w:r>
            <w:r>
              <w:rPr>
                <w:rFonts w:ascii="Arial" w:hAnsi="Arial"/>
                <w:b/>
                <w:bCs/>
                <w:sz w:val="22"/>
                <w:szCs w:val="22"/>
                <w:lang w:val="en-US"/>
              </w:rPr>
              <w:t xml:space="preserve">rug </w:t>
            </w:r>
            <w:r w:rsidR="003622DE">
              <w:rPr>
                <w:rFonts w:ascii="Arial" w:hAnsi="Arial"/>
                <w:b/>
                <w:bCs/>
                <w:sz w:val="22"/>
                <w:szCs w:val="22"/>
                <w:lang w:val="en-US"/>
              </w:rPr>
              <w:t>m</w:t>
            </w:r>
            <w:r>
              <w:rPr>
                <w:rFonts w:ascii="Arial" w:hAnsi="Arial"/>
                <w:b/>
                <w:bCs/>
                <w:sz w:val="22"/>
                <w:szCs w:val="22"/>
                <w:lang w:val="en-US"/>
              </w:rPr>
              <w:t xml:space="preserve">onitoring for </w:t>
            </w:r>
            <w:r w:rsidR="003622DE">
              <w:rPr>
                <w:rFonts w:ascii="Arial" w:hAnsi="Arial"/>
                <w:b/>
                <w:bCs/>
                <w:sz w:val="22"/>
                <w:szCs w:val="22"/>
                <w:lang w:val="en-US"/>
              </w:rPr>
              <w:t>p</w:t>
            </w:r>
            <w:r>
              <w:rPr>
                <w:rFonts w:ascii="Arial" w:hAnsi="Arial"/>
                <w:b/>
                <w:bCs/>
                <w:sz w:val="22"/>
                <w:szCs w:val="22"/>
                <w:lang w:val="en-US"/>
              </w:rPr>
              <w:t xml:space="preserve">ulmonary </w:t>
            </w:r>
            <w:r w:rsidR="003622DE">
              <w:rPr>
                <w:rFonts w:ascii="Arial" w:hAnsi="Arial"/>
                <w:b/>
                <w:bCs/>
                <w:sz w:val="22"/>
                <w:szCs w:val="22"/>
                <w:lang w:val="en-US"/>
              </w:rPr>
              <w:t>t</w:t>
            </w:r>
            <w:r>
              <w:rPr>
                <w:rFonts w:ascii="Arial" w:hAnsi="Arial"/>
                <w:b/>
                <w:bCs/>
                <w:sz w:val="22"/>
                <w:szCs w:val="22"/>
                <w:lang w:val="en-US"/>
              </w:rPr>
              <w:t xml:space="preserve">uberculosis and </w:t>
            </w:r>
            <w:r w:rsidR="003622DE">
              <w:rPr>
                <w:rFonts w:ascii="Arial" w:hAnsi="Arial"/>
                <w:b/>
                <w:bCs/>
                <w:sz w:val="22"/>
                <w:szCs w:val="22"/>
                <w:lang w:val="en-US"/>
              </w:rPr>
              <w:t>l</w:t>
            </w:r>
            <w:r>
              <w:rPr>
                <w:rFonts w:ascii="Arial" w:hAnsi="Arial"/>
                <w:b/>
                <w:bCs/>
                <w:sz w:val="22"/>
                <w:szCs w:val="22"/>
                <w:lang w:val="en-US"/>
              </w:rPr>
              <w:t xml:space="preserve">ung </w:t>
            </w:r>
            <w:r w:rsidR="003622DE">
              <w:rPr>
                <w:rFonts w:ascii="Arial" w:hAnsi="Arial"/>
                <w:b/>
                <w:bCs/>
                <w:sz w:val="22"/>
                <w:szCs w:val="22"/>
                <w:lang w:val="en-US"/>
              </w:rPr>
              <w:t>f</w:t>
            </w:r>
            <w:r>
              <w:rPr>
                <w:rFonts w:ascii="Arial" w:hAnsi="Arial"/>
                <w:b/>
                <w:bCs/>
                <w:sz w:val="22"/>
                <w:szCs w:val="22"/>
                <w:lang w:val="en-US"/>
              </w:rPr>
              <w:t xml:space="preserve">unction </w:t>
            </w:r>
            <w:r w:rsidR="003622DE">
              <w:rPr>
                <w:rFonts w:ascii="Arial" w:hAnsi="Arial"/>
                <w:b/>
                <w:bCs/>
                <w:sz w:val="22"/>
                <w:szCs w:val="22"/>
                <w:lang w:val="en-US"/>
              </w:rPr>
              <w:t>o</w:t>
            </w:r>
            <w:r>
              <w:rPr>
                <w:rFonts w:ascii="Arial" w:hAnsi="Arial"/>
                <w:b/>
                <w:bCs/>
                <w:sz w:val="22"/>
                <w:szCs w:val="22"/>
                <w:lang w:val="en-US"/>
              </w:rPr>
              <w:t>utcomes</w:t>
            </w:r>
          </w:p>
        </w:tc>
      </w:tr>
      <w:tr w:rsidR="001564A4" w:rsidRPr="0050053A" w14:paraId="0E2E035C" w14:textId="77777777" w:rsidTr="005E3B6A">
        <w:trPr>
          <w:trHeight w:val="892"/>
          <w:jc w:val="center"/>
        </w:trPr>
        <w:tc>
          <w:tcPr>
            <w:tcW w:w="8623" w:type="dxa"/>
            <w:shd w:val="clear" w:color="auto" w:fill="auto"/>
          </w:tcPr>
          <w:p w14:paraId="73B55295" w14:textId="5551021A" w:rsidR="001564A4" w:rsidRPr="00413B94" w:rsidRDefault="005E3B6A" w:rsidP="000A28E2">
            <w:pPr>
              <w:spacing w:before="120" w:after="120"/>
              <w:rPr>
                <w:rFonts w:ascii="Arial" w:hAnsi="Arial" w:cs="Arial"/>
                <w:sz w:val="22"/>
                <w:szCs w:val="22"/>
                <w:u w:val="single"/>
                <w:lang w:eastAsia="zh-CN"/>
              </w:rPr>
            </w:pPr>
            <w:r>
              <w:rPr>
                <w:rFonts w:ascii="Arial" w:hAnsi="Arial"/>
                <w:sz w:val="22"/>
                <w:szCs w:val="22"/>
                <w:lang w:val="en-US"/>
              </w:rPr>
              <w:t>S. Bailey</w:t>
            </w:r>
            <w:r>
              <w:rPr>
                <w:rFonts w:ascii="Arial" w:hAnsi="Arial"/>
                <w:sz w:val="22"/>
                <w:szCs w:val="22"/>
                <w:vertAlign w:val="superscript"/>
                <w:lang w:val="en-US"/>
              </w:rPr>
              <w:t>1</w:t>
            </w:r>
            <w:r>
              <w:rPr>
                <w:rFonts w:ascii="Arial" w:hAnsi="Arial"/>
                <w:sz w:val="22"/>
                <w:szCs w:val="22"/>
                <w:lang w:val="en-US"/>
              </w:rPr>
              <w:t>, D. Kocic</w:t>
            </w:r>
            <w:r>
              <w:rPr>
                <w:rFonts w:ascii="Arial" w:hAnsi="Arial"/>
                <w:sz w:val="22"/>
                <w:szCs w:val="22"/>
                <w:vertAlign w:val="superscript"/>
                <w:lang w:val="en-US"/>
              </w:rPr>
              <w:t>2,3</w:t>
            </w:r>
            <w:r>
              <w:rPr>
                <w:rFonts w:ascii="Arial" w:hAnsi="Arial"/>
                <w:sz w:val="22"/>
                <w:szCs w:val="22"/>
                <w:lang w:val="en-US"/>
              </w:rPr>
              <w:t>, R. Wong</w:t>
            </w:r>
            <w:r>
              <w:rPr>
                <w:rFonts w:ascii="Arial" w:hAnsi="Arial"/>
                <w:sz w:val="22"/>
                <w:szCs w:val="22"/>
                <w:vertAlign w:val="superscript"/>
                <w:lang w:val="en-US"/>
              </w:rPr>
              <w:t>3</w:t>
            </w:r>
            <w:r>
              <w:rPr>
                <w:rFonts w:ascii="Arial" w:hAnsi="Arial"/>
                <w:sz w:val="22"/>
                <w:szCs w:val="22"/>
                <w:lang w:val="en-US"/>
              </w:rPr>
              <w:t>, E. Pang</w:t>
            </w:r>
            <w:r>
              <w:rPr>
                <w:rFonts w:ascii="Arial" w:hAnsi="Arial"/>
                <w:sz w:val="22"/>
                <w:szCs w:val="22"/>
                <w:vertAlign w:val="superscript"/>
                <w:lang w:val="en-US"/>
              </w:rPr>
              <w:t>2</w:t>
            </w:r>
            <w:r>
              <w:rPr>
                <w:rFonts w:ascii="Arial" w:hAnsi="Arial"/>
                <w:sz w:val="22"/>
                <w:szCs w:val="22"/>
                <w:lang w:val="en-US"/>
              </w:rPr>
              <w:t>, S. Stocker</w:t>
            </w:r>
            <w:r>
              <w:rPr>
                <w:rFonts w:ascii="Arial" w:hAnsi="Arial"/>
                <w:sz w:val="22"/>
                <w:szCs w:val="22"/>
                <w:vertAlign w:val="superscript"/>
                <w:lang w:val="en-US"/>
              </w:rPr>
              <w:t>2</w:t>
            </w:r>
            <w:r>
              <w:rPr>
                <w:rFonts w:ascii="Arial" w:hAnsi="Arial"/>
                <w:sz w:val="22"/>
                <w:szCs w:val="22"/>
                <w:lang w:val="en-US"/>
              </w:rPr>
              <w:t>, S. Reuter Lange</w:t>
            </w:r>
            <w:r>
              <w:rPr>
                <w:rFonts w:ascii="Arial" w:hAnsi="Arial"/>
                <w:sz w:val="22"/>
                <w:szCs w:val="22"/>
                <w:vertAlign w:val="superscript"/>
                <w:lang w:val="en-US"/>
              </w:rPr>
              <w:t>4</w:t>
            </w:r>
            <w:r>
              <w:rPr>
                <w:rFonts w:ascii="Arial" w:hAnsi="Arial"/>
                <w:sz w:val="22"/>
                <w:szCs w:val="22"/>
                <w:lang w:val="en-US"/>
              </w:rPr>
              <w:t>, X. Hu</w:t>
            </w:r>
            <w:r>
              <w:rPr>
                <w:rFonts w:ascii="Arial" w:hAnsi="Arial"/>
                <w:sz w:val="22"/>
                <w:szCs w:val="22"/>
                <w:vertAlign w:val="superscript"/>
                <w:lang w:val="en-US"/>
              </w:rPr>
              <w:t>1</w:t>
            </w:r>
            <w:r>
              <w:rPr>
                <w:rFonts w:ascii="Arial" w:hAnsi="Arial"/>
                <w:sz w:val="22"/>
                <w:szCs w:val="22"/>
                <w:lang w:val="en-US"/>
              </w:rPr>
              <w:t>, A. Byrne</w:t>
            </w:r>
            <w:r>
              <w:rPr>
                <w:rFonts w:ascii="Arial" w:hAnsi="Arial"/>
                <w:sz w:val="22"/>
                <w:szCs w:val="22"/>
                <w:vertAlign w:val="superscript"/>
                <w:lang w:val="en-US"/>
              </w:rPr>
              <w:t>1,3</w:t>
            </w:r>
          </w:p>
        </w:tc>
      </w:tr>
      <w:tr w:rsidR="001564A4" w:rsidRPr="0050053A" w14:paraId="385A19D9" w14:textId="77777777" w:rsidTr="005E3B6A">
        <w:trPr>
          <w:trHeight w:val="164"/>
          <w:jc w:val="center"/>
        </w:trPr>
        <w:tc>
          <w:tcPr>
            <w:tcW w:w="8623" w:type="dxa"/>
            <w:shd w:val="clear" w:color="auto" w:fill="auto"/>
          </w:tcPr>
          <w:p w14:paraId="60F8ED8D" w14:textId="77777777" w:rsidR="005E3B6A" w:rsidRDefault="005E3B6A" w:rsidP="005E3B6A">
            <w:pPr>
              <w:pStyle w:val="Body"/>
              <w:spacing w:before="120" w:after="120"/>
              <w:rPr>
                <w:rFonts w:ascii="Arial" w:eastAsia="Arial" w:hAnsi="Arial" w:cs="Arial"/>
                <w:i/>
                <w:iCs/>
                <w:sz w:val="22"/>
                <w:szCs w:val="22"/>
              </w:rPr>
            </w:pPr>
            <w:r>
              <w:rPr>
                <w:rFonts w:ascii="Arial" w:hAnsi="Arial"/>
                <w:i/>
                <w:iCs/>
                <w:sz w:val="22"/>
                <w:szCs w:val="22"/>
                <w:vertAlign w:val="superscript"/>
                <w:lang w:val="en-US"/>
              </w:rPr>
              <w:t>1</w:t>
            </w:r>
            <w:r>
              <w:rPr>
                <w:rFonts w:ascii="Arial" w:hAnsi="Arial"/>
                <w:i/>
                <w:iCs/>
                <w:sz w:val="22"/>
                <w:szCs w:val="22"/>
                <w:lang w:val="en-US"/>
              </w:rPr>
              <w:t>Department of Thoracic Medicine, St Vincents Hospital, NSW, Australia</w:t>
            </w:r>
          </w:p>
          <w:p w14:paraId="48BE1F60" w14:textId="77777777" w:rsidR="005E3B6A" w:rsidRDefault="005E3B6A" w:rsidP="005E3B6A">
            <w:pPr>
              <w:pStyle w:val="Body"/>
              <w:spacing w:before="120" w:after="120"/>
              <w:rPr>
                <w:rFonts w:ascii="Arial" w:eastAsia="Arial" w:hAnsi="Arial" w:cs="Arial"/>
                <w:i/>
                <w:iCs/>
                <w:sz w:val="22"/>
                <w:szCs w:val="22"/>
              </w:rPr>
            </w:pPr>
            <w:r>
              <w:rPr>
                <w:rFonts w:ascii="Arial" w:hAnsi="Arial"/>
                <w:i/>
                <w:iCs/>
                <w:sz w:val="22"/>
                <w:szCs w:val="22"/>
                <w:vertAlign w:val="superscript"/>
                <w:lang w:val="en-US"/>
              </w:rPr>
              <w:t>2</w:t>
            </w:r>
            <w:r>
              <w:rPr>
                <w:rFonts w:ascii="Arial" w:hAnsi="Arial"/>
                <w:i/>
                <w:iCs/>
                <w:sz w:val="22"/>
                <w:szCs w:val="22"/>
                <w:shd w:val="clear" w:color="auto" w:fill="FFFFFF"/>
                <w:lang w:val="en-US"/>
              </w:rPr>
              <w:t>Department of Clinical Pharmacology,</w:t>
            </w:r>
            <w:r>
              <w:rPr>
                <w:rFonts w:ascii="Roboto" w:eastAsia="Roboto" w:hAnsi="Roboto" w:cs="Roboto"/>
                <w:sz w:val="21"/>
                <w:szCs w:val="21"/>
                <w:shd w:val="clear" w:color="auto" w:fill="FFFFFF"/>
                <w:lang w:val="en-US"/>
              </w:rPr>
              <w:t xml:space="preserve"> Sydpath, </w:t>
            </w:r>
            <w:r>
              <w:rPr>
                <w:rFonts w:ascii="Arial" w:hAnsi="Arial"/>
                <w:i/>
                <w:iCs/>
                <w:sz w:val="22"/>
                <w:szCs w:val="22"/>
                <w:lang w:val="en-US"/>
              </w:rPr>
              <w:t>St Vincents Hospital, NSW, Australia</w:t>
            </w:r>
          </w:p>
          <w:p w14:paraId="40C687F5" w14:textId="77777777" w:rsidR="005E3B6A" w:rsidRDefault="005E3B6A" w:rsidP="005E3B6A">
            <w:pPr>
              <w:spacing w:before="120" w:after="120"/>
              <w:rPr>
                <w:rFonts w:ascii="Arial" w:hAnsi="Arial"/>
                <w:i/>
                <w:iCs/>
                <w:sz w:val="22"/>
                <w:szCs w:val="22"/>
                <w:lang w:val="en-US"/>
              </w:rPr>
            </w:pPr>
            <w:r>
              <w:rPr>
                <w:rFonts w:ascii="Arial" w:hAnsi="Arial"/>
                <w:sz w:val="22"/>
                <w:szCs w:val="22"/>
                <w:vertAlign w:val="superscript"/>
                <w:lang w:val="en-US"/>
              </w:rPr>
              <w:t>3</w:t>
            </w:r>
            <w:r>
              <w:rPr>
                <w:rFonts w:ascii="Arial" w:hAnsi="Arial"/>
                <w:i/>
                <w:iCs/>
                <w:sz w:val="22"/>
                <w:szCs w:val="22"/>
                <w:shd w:val="clear" w:color="auto" w:fill="FFFFFF"/>
                <w:lang w:val="en-US"/>
              </w:rPr>
              <w:t>Faculty of Medicine, University of New South Wales</w:t>
            </w:r>
            <w:r>
              <w:rPr>
                <w:rFonts w:ascii="Arial" w:hAnsi="Arial"/>
                <w:i/>
                <w:iCs/>
                <w:sz w:val="22"/>
                <w:szCs w:val="22"/>
                <w:lang w:val="en-US"/>
              </w:rPr>
              <w:t>, NSW, Australia</w:t>
            </w:r>
          </w:p>
          <w:p w14:paraId="45ED36BF" w14:textId="1B5A92EE" w:rsidR="001564A4" w:rsidRPr="0050053A" w:rsidRDefault="005E3B6A" w:rsidP="005E3B6A">
            <w:pPr>
              <w:spacing w:before="120" w:after="120"/>
              <w:rPr>
                <w:rFonts w:ascii="Arial" w:hAnsi="Arial" w:cs="Arial"/>
                <w:i/>
                <w:sz w:val="22"/>
                <w:szCs w:val="22"/>
                <w:lang w:val="en-US" w:eastAsia="en-GB"/>
              </w:rPr>
            </w:pPr>
            <w:r>
              <w:rPr>
                <w:rFonts w:ascii="Arial" w:hAnsi="Arial"/>
                <w:sz w:val="22"/>
                <w:szCs w:val="22"/>
                <w:vertAlign w:val="superscript"/>
                <w:lang w:val="en-US"/>
              </w:rPr>
              <w:t>4</w:t>
            </w:r>
            <w:r>
              <w:rPr>
                <w:rFonts w:ascii="Arial" w:hAnsi="Arial"/>
                <w:i/>
                <w:iCs/>
                <w:sz w:val="22"/>
                <w:szCs w:val="22"/>
                <w:lang w:val="en-US"/>
              </w:rPr>
              <w:t>Department of Clinical Pharmacology, University of South Australia, SA, Australia</w:t>
            </w:r>
          </w:p>
        </w:tc>
      </w:tr>
      <w:tr w:rsidR="001564A4" w:rsidRPr="0050053A" w14:paraId="6DAF615A" w14:textId="77777777" w:rsidTr="005E3B6A">
        <w:trPr>
          <w:trHeight w:hRule="exact" w:val="8902"/>
          <w:jc w:val="center"/>
        </w:trPr>
        <w:tc>
          <w:tcPr>
            <w:tcW w:w="8623" w:type="dxa"/>
            <w:shd w:val="clear" w:color="auto" w:fill="auto"/>
          </w:tcPr>
          <w:p w14:paraId="348775C3" w14:textId="26D38A61" w:rsidR="005E3B6A" w:rsidRDefault="001564A4" w:rsidP="005E3B6A">
            <w:pPr>
              <w:pStyle w:val="Pa12"/>
              <w:rPr>
                <w:sz w:val="22"/>
                <w:szCs w:val="22"/>
              </w:rPr>
            </w:pPr>
            <w:r>
              <w:rPr>
                <w:rStyle w:val="A4"/>
                <w:b/>
                <w:bCs/>
              </w:rPr>
              <w:t>Introduction/</w:t>
            </w:r>
            <w:r w:rsidRPr="0050053A">
              <w:rPr>
                <w:rStyle w:val="A4"/>
                <w:b/>
                <w:bCs/>
              </w:rPr>
              <w:t xml:space="preserve">Aim: </w:t>
            </w:r>
            <w:r w:rsidR="005E3B6A" w:rsidRPr="004900A6">
              <w:rPr>
                <w:sz w:val="22"/>
                <w:szCs w:val="22"/>
                <w:lang w:val="en-US"/>
              </w:rPr>
              <w:t>Mycobacterium tuberculosis</w:t>
            </w:r>
            <w:r w:rsidR="005E3B6A">
              <w:rPr>
                <w:i/>
                <w:iCs/>
                <w:sz w:val="22"/>
                <w:szCs w:val="22"/>
                <w:lang w:val="en-US"/>
              </w:rPr>
              <w:t xml:space="preserve"> </w:t>
            </w:r>
            <w:r w:rsidR="005E3B6A">
              <w:rPr>
                <w:sz w:val="22"/>
                <w:szCs w:val="22"/>
                <w:lang w:val="en-US"/>
              </w:rPr>
              <w:t>(TB) medication doses are rarely individualised to patients’ pharmacokinetics and absorption. Sub-</w:t>
            </w:r>
            <w:r w:rsidR="005E3B6A">
              <w:rPr>
                <w:sz w:val="22"/>
                <w:szCs w:val="22"/>
              </w:rPr>
              <w:t>therapeutic</w:t>
            </w:r>
            <w:r w:rsidR="005E3B6A">
              <w:rPr>
                <w:sz w:val="22"/>
                <w:szCs w:val="22"/>
                <w:lang w:val="en-US"/>
              </w:rPr>
              <w:t xml:space="preserve"> plasma levels of TB medications have been associated with delayed culture conversion, however, their relationship </w:t>
            </w:r>
            <w:r w:rsidR="005E3B6A">
              <w:rPr>
                <w:sz w:val="22"/>
                <w:szCs w:val="22"/>
              </w:rPr>
              <w:t>with</w:t>
            </w:r>
            <w:r w:rsidR="005E3B6A">
              <w:rPr>
                <w:sz w:val="22"/>
                <w:szCs w:val="22"/>
                <w:lang w:val="en-US"/>
              </w:rPr>
              <w:t xml:space="preserve"> lung function outcomes is unknown and could be important in the aetiology of </w:t>
            </w:r>
            <w:r w:rsidR="005E3B6A">
              <w:rPr>
                <w:sz w:val="22"/>
                <w:szCs w:val="22"/>
              </w:rPr>
              <w:t>p</w:t>
            </w:r>
            <w:r w:rsidR="005E3B6A">
              <w:rPr>
                <w:sz w:val="22"/>
                <w:szCs w:val="22"/>
                <w:lang w:val="en-US"/>
              </w:rPr>
              <w:t xml:space="preserve">ost </w:t>
            </w:r>
            <w:r w:rsidR="005E3B6A">
              <w:rPr>
                <w:sz w:val="22"/>
                <w:szCs w:val="22"/>
              </w:rPr>
              <w:t>t</w:t>
            </w:r>
            <w:r w:rsidR="005E3B6A">
              <w:rPr>
                <w:sz w:val="22"/>
                <w:szCs w:val="22"/>
                <w:lang w:val="en-US"/>
              </w:rPr>
              <w:t xml:space="preserve">uberculosis </w:t>
            </w:r>
            <w:r w:rsidR="005E3B6A">
              <w:rPr>
                <w:sz w:val="22"/>
                <w:szCs w:val="22"/>
              </w:rPr>
              <w:t>l</w:t>
            </w:r>
            <w:r w:rsidR="005E3B6A">
              <w:rPr>
                <w:sz w:val="22"/>
                <w:szCs w:val="22"/>
                <w:lang w:val="en-US"/>
              </w:rPr>
              <w:t xml:space="preserve">ung </w:t>
            </w:r>
            <w:r w:rsidR="005E3B6A">
              <w:rPr>
                <w:sz w:val="22"/>
                <w:szCs w:val="22"/>
              </w:rPr>
              <w:t>d</w:t>
            </w:r>
            <w:r w:rsidR="005E3B6A">
              <w:rPr>
                <w:sz w:val="22"/>
                <w:szCs w:val="22"/>
                <w:lang w:val="en-US"/>
              </w:rPr>
              <w:t>isease (PTLD). We hypothesise that TB patients with lower serum drug concentrations of first line TB medications would have poorer lung function outcomes.</w:t>
            </w:r>
          </w:p>
          <w:p w14:paraId="3D770CF7" w14:textId="77777777" w:rsidR="001564A4" w:rsidRPr="0050053A" w:rsidRDefault="001564A4" w:rsidP="000A28E2">
            <w:pPr>
              <w:pStyle w:val="Pa12"/>
              <w:rPr>
                <w:rStyle w:val="A4"/>
                <w:bCs/>
              </w:rPr>
            </w:pPr>
          </w:p>
          <w:p w14:paraId="0C68664B" w14:textId="0BCBDC6A" w:rsidR="005E3B6A" w:rsidRDefault="001564A4" w:rsidP="005E3B6A">
            <w:pPr>
              <w:pStyle w:val="Pa12"/>
              <w:rPr>
                <w:sz w:val="22"/>
                <w:szCs w:val="22"/>
              </w:rPr>
            </w:pPr>
            <w:r w:rsidRPr="0050053A">
              <w:rPr>
                <w:rStyle w:val="A4"/>
                <w:b/>
                <w:bCs/>
              </w:rPr>
              <w:t>Method</w:t>
            </w:r>
            <w:r>
              <w:rPr>
                <w:rStyle w:val="A4"/>
                <w:b/>
                <w:bCs/>
              </w:rPr>
              <w:t>s</w:t>
            </w:r>
            <w:r w:rsidRPr="0050053A">
              <w:rPr>
                <w:rStyle w:val="A4"/>
                <w:b/>
                <w:bCs/>
              </w:rPr>
              <w:t xml:space="preserve">: </w:t>
            </w:r>
            <w:r w:rsidR="005E3B6A">
              <w:rPr>
                <w:sz w:val="22"/>
                <w:szCs w:val="22"/>
                <w:lang w:val="en-US"/>
              </w:rPr>
              <w:t xml:space="preserve">Multi-centre, prospective observational study of adults with laboratory confirmed pulmonary TB without rifampicin resistance. Blood was collected at 2, 4 and 6 weeks after TB treatment initiation and on each occasion at 0, 1, 3 and 6 hours post ingestion of rifampicin, isoniazid, </w:t>
            </w:r>
            <w:proofErr w:type="gramStart"/>
            <w:r w:rsidR="005E3B6A">
              <w:rPr>
                <w:sz w:val="22"/>
                <w:szCs w:val="22"/>
                <w:lang w:val="en-US"/>
              </w:rPr>
              <w:t>ethambutol</w:t>
            </w:r>
            <w:proofErr w:type="gramEnd"/>
            <w:r w:rsidR="005E3B6A">
              <w:rPr>
                <w:sz w:val="22"/>
                <w:szCs w:val="22"/>
                <w:lang w:val="en-US"/>
              </w:rPr>
              <w:t xml:space="preserve"> and pyrazinamide. High performance liquid-chromatography (HPLC) tandem-mass spectrometry was used to determine the maximal drug concentrations (</w:t>
            </w:r>
            <w:r w:rsidR="005E3B6A">
              <w:rPr>
                <w:i/>
                <w:iCs/>
                <w:sz w:val="22"/>
                <w:szCs w:val="22"/>
                <w:lang w:val="en-US"/>
              </w:rPr>
              <w:t>Cmax</w:t>
            </w:r>
            <w:r w:rsidR="005E3B6A">
              <w:rPr>
                <w:sz w:val="22"/>
                <w:szCs w:val="22"/>
                <w:lang w:val="en-US"/>
              </w:rPr>
              <w:t xml:space="preserve">) for each medication. Lung function including FEV1, FVC, TLC and DLCO were measured at TB treatment completion and Spearman’s correlation coefficient was used to compare the relationship between sub-therapeutic </w:t>
            </w:r>
            <w:r w:rsidR="005E3B6A">
              <w:rPr>
                <w:i/>
                <w:iCs/>
                <w:sz w:val="22"/>
                <w:szCs w:val="22"/>
                <w:lang w:val="en-US"/>
              </w:rPr>
              <w:t>Cmax</w:t>
            </w:r>
            <w:r w:rsidR="005E3B6A">
              <w:rPr>
                <w:sz w:val="22"/>
                <w:szCs w:val="22"/>
                <w:lang w:val="en-US"/>
              </w:rPr>
              <w:t xml:space="preserve"> levels and abnormal lung function.</w:t>
            </w:r>
          </w:p>
          <w:p w14:paraId="5029BAE6" w14:textId="77777777" w:rsidR="001564A4" w:rsidRPr="0050053A" w:rsidRDefault="001564A4" w:rsidP="000A28E2">
            <w:pPr>
              <w:pStyle w:val="Pa12"/>
              <w:rPr>
                <w:rStyle w:val="A4"/>
                <w:bCs/>
              </w:rPr>
            </w:pPr>
          </w:p>
          <w:p w14:paraId="512E5325" w14:textId="77777777" w:rsidR="005E3B6A" w:rsidRPr="0050053A" w:rsidRDefault="001564A4" w:rsidP="005E3B6A">
            <w:pPr>
              <w:pStyle w:val="Pa12"/>
              <w:rPr>
                <w:sz w:val="22"/>
                <w:szCs w:val="22"/>
              </w:rPr>
            </w:pPr>
            <w:r w:rsidRPr="0050053A">
              <w:rPr>
                <w:rStyle w:val="A4"/>
                <w:b/>
                <w:bCs/>
              </w:rPr>
              <w:t xml:space="preserve">Results: </w:t>
            </w:r>
            <w:r w:rsidR="005E3B6A">
              <w:rPr>
                <w:sz w:val="22"/>
                <w:szCs w:val="22"/>
                <w:lang w:val="en-US"/>
              </w:rPr>
              <w:t>Of 15 adults with a median age of 34 years (interquartile range 33.5), 47% (7/15) recorded sub-therapeutic levels of one or more anti-tuberculosis drug at least one time-point during therapy (53%, 8/15 were therapeutic throughout). More patients with therapeutic drug levels throughout had normal FEV1, TLC and DLCO at completion of treatment compared to those with sub-therapeutic levels (60% vs 40%; 67% vs 33% and 67% vs 33% respectively), although this did not reach statistical significance (p&gt;0.05).</w:t>
            </w:r>
          </w:p>
          <w:p w14:paraId="6BF3F094" w14:textId="79389C29" w:rsidR="001564A4" w:rsidRPr="0050053A" w:rsidRDefault="001564A4" w:rsidP="000A28E2">
            <w:pPr>
              <w:pStyle w:val="Pa12"/>
              <w:rPr>
                <w:rStyle w:val="A4"/>
                <w:b/>
                <w:bCs/>
              </w:rPr>
            </w:pPr>
          </w:p>
          <w:p w14:paraId="652F7BE1" w14:textId="302C0AC3" w:rsidR="001564A4" w:rsidRPr="0050053A" w:rsidRDefault="001564A4" w:rsidP="000A28E2">
            <w:pPr>
              <w:pStyle w:val="Pa12"/>
              <w:rPr>
                <w:rStyle w:val="A4"/>
                <w:b/>
                <w:bCs/>
              </w:rPr>
            </w:pPr>
            <w:r w:rsidRPr="0050053A">
              <w:rPr>
                <w:rStyle w:val="A4"/>
                <w:b/>
                <w:bCs/>
              </w:rPr>
              <w:t xml:space="preserve">Conclusion: </w:t>
            </w:r>
          </w:p>
          <w:p w14:paraId="178FED96" w14:textId="77777777" w:rsidR="005E3B6A" w:rsidRDefault="005E3B6A" w:rsidP="005E3B6A">
            <w:pPr>
              <w:pStyle w:val="Pa12"/>
              <w:rPr>
                <w:sz w:val="22"/>
                <w:szCs w:val="22"/>
              </w:rPr>
            </w:pPr>
            <w:r>
              <w:rPr>
                <w:sz w:val="22"/>
                <w:szCs w:val="22"/>
                <w:lang w:val="en-US"/>
              </w:rPr>
              <w:t xml:space="preserve">Sub-therapeutic tuberculosis drug levels are common during the intensive phase of treatment of rifampicin susceptible pulmonary tuberculosis in our study and may be associated with abnormal lung function at TB treatment completion. Larger studies are needed to determine if obtaining therapeutic </w:t>
            </w:r>
            <w:r>
              <w:rPr>
                <w:i/>
                <w:iCs/>
                <w:sz w:val="22"/>
                <w:szCs w:val="22"/>
                <w:lang w:val="en-US"/>
              </w:rPr>
              <w:t>Cmax</w:t>
            </w:r>
            <w:r>
              <w:rPr>
                <w:sz w:val="22"/>
                <w:szCs w:val="22"/>
                <w:lang w:val="en-US"/>
              </w:rPr>
              <w:t xml:space="preserve"> levels can prevent PTLD.</w:t>
            </w:r>
          </w:p>
          <w:p w14:paraId="033167F9" w14:textId="24A5A0D3" w:rsidR="001564A4" w:rsidRPr="0050053A" w:rsidRDefault="001564A4" w:rsidP="000A28E2">
            <w:pPr>
              <w:pStyle w:val="Pa12"/>
              <w:rPr>
                <w:rStyle w:val="A4"/>
                <w:bCs/>
              </w:rPr>
            </w:pPr>
          </w:p>
          <w:p w14:paraId="7F44407B" w14:textId="77777777" w:rsidR="005E3B6A" w:rsidRPr="0050053A" w:rsidRDefault="001564A4" w:rsidP="005E3B6A">
            <w:pPr>
              <w:pStyle w:val="Pa12"/>
              <w:rPr>
                <w:rStyle w:val="A4"/>
                <w:b/>
                <w:bCs/>
              </w:rPr>
            </w:pPr>
            <w:r w:rsidRPr="0050053A">
              <w:rPr>
                <w:rStyle w:val="A4"/>
                <w:b/>
                <w:bCs/>
              </w:rPr>
              <w:t xml:space="preserve">Grant Support: </w:t>
            </w:r>
            <w:r w:rsidR="005E3B6A">
              <w:rPr>
                <w:sz w:val="22"/>
                <w:szCs w:val="22"/>
                <w:lang w:val="en-US"/>
              </w:rPr>
              <w:t>St Vincent’s Clinic Foundation - Research Grant Award</w:t>
            </w:r>
          </w:p>
          <w:p w14:paraId="3E8B4283" w14:textId="786ABB9F" w:rsidR="001564A4" w:rsidRPr="005E3B6A" w:rsidRDefault="001564A4" w:rsidP="000A28E2">
            <w:pPr>
              <w:pStyle w:val="Pa12"/>
              <w:rPr>
                <w:rStyle w:val="A4"/>
                <w:bCs/>
              </w:rPr>
            </w:pP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3622DE"/>
    <w:rsid w:val="0051574E"/>
    <w:rsid w:val="005E3B6A"/>
    <w:rsid w:val="008803FA"/>
    <w:rsid w:val="00AA0E64"/>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customStyle="1" w:styleId="Body">
    <w:name w:val="Body"/>
    <w:rsid w:val="005E3B6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AU" w:eastAsia="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6911e96c-4cc4-42d5-8e43-f93924cf6a05"/>
    <ds:schemaRef ds:uri="http://purl.org/dc/terms/"/>
    <ds:schemaRef ds:uri="http://schemas.microsoft.com/office/infopath/2007/PartnerControls"/>
    <ds:schemaRef ds:uri="cab52c9b-ab33-4221-8af9-54f8f2b86a80"/>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9c8a2b7b-0bee-4c48-b0a6-23db8982d3bc"/>
    <ds:schemaRef ds:uri="http://www.w3.org/XML/1998/namespace"/>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7D2678F6-065E-48CF-9E67-8137C4E33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2023-10-12T21:52:00Z</dcterms:created>
  <dcterms:modified xsi:type="dcterms:W3CDTF">2023-10-12T21:52:00Z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