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6E9" w14:textId="58CF058C" w:rsidR="00EB1B31" w:rsidRDefault="00EB1B31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54686958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758F20FB" w14:textId="18DB5436" w:rsidR="009711E7" w:rsidRPr="00A66A36" w:rsidRDefault="00A66A36" w:rsidP="00BF74D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A66A36">
              <w:rPr>
                <w:rFonts w:ascii="Arial" w:hAnsi="Arial" w:cs="Arial"/>
                <w:i/>
                <w:iCs/>
                <w:sz w:val="22"/>
                <w:szCs w:val="22"/>
              </w:rPr>
              <w:t>Panel</w:t>
            </w:r>
          </w:p>
          <w:p w14:paraId="4A4770F9" w14:textId="77777777" w:rsidR="00C8423A" w:rsidRPr="00A66A36" w:rsidRDefault="00E8654B" w:rsidP="00BF74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A36">
              <w:rPr>
                <w:rFonts w:ascii="Arial" w:hAnsi="Arial" w:cs="Arial"/>
                <w:b/>
                <w:sz w:val="22"/>
                <w:szCs w:val="22"/>
              </w:rPr>
              <w:t>Adaptive Pathways: novel developments for accelerating adaptation action</w:t>
            </w:r>
            <w:r w:rsidR="00BF74DF" w:rsidRPr="00A66A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BA78364" w14:textId="1F5406A1" w:rsidR="00A66A36" w:rsidRPr="00BE0B4D" w:rsidRDefault="00A66A36" w:rsidP="00BF74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423A" w:rsidRPr="0003525D" w14:paraId="3E0FEA24" w14:textId="77777777" w:rsidTr="00D44757">
        <w:trPr>
          <w:trHeight w:val="841"/>
        </w:trPr>
        <w:tc>
          <w:tcPr>
            <w:tcW w:w="8640" w:type="dxa"/>
          </w:tcPr>
          <w:p w14:paraId="4B043FB7" w14:textId="155C09B0" w:rsidR="009748DA" w:rsidRPr="009711E7" w:rsidRDefault="009711E7" w:rsidP="00E8654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11E7">
              <w:rPr>
                <w:rFonts w:ascii="Arial" w:hAnsi="Arial" w:cs="Arial"/>
                <w:b/>
                <w:sz w:val="22"/>
                <w:szCs w:val="22"/>
              </w:rPr>
              <w:t xml:space="preserve">Summary </w:t>
            </w:r>
          </w:p>
          <w:p w14:paraId="084E17AE" w14:textId="5DE5516F" w:rsidR="00E8654B" w:rsidRDefault="009748DA" w:rsidP="00E86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E8654B" w:rsidRPr="00E8654B">
              <w:rPr>
                <w:rFonts w:ascii="Arial" w:hAnsi="Arial" w:cs="Arial"/>
                <w:bCs/>
                <w:sz w:val="22"/>
                <w:szCs w:val="22"/>
              </w:rPr>
              <w:t>Adaptive Pathways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>’, as a conceptual and analytical methodology, has been</w:t>
            </w:r>
            <w:r w:rsidR="00E8654B" w:rsidRPr="00E865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654B">
              <w:rPr>
                <w:rFonts w:ascii="Arial" w:hAnsi="Arial" w:cs="Arial"/>
                <w:bCs/>
                <w:sz w:val="22"/>
                <w:szCs w:val="22"/>
              </w:rPr>
              <w:t>designed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 and used</w:t>
            </w:r>
            <w:r w:rsidR="00E865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for over 15 years to support </w:t>
            </w:r>
            <w:r w:rsidR="00E8654B">
              <w:rPr>
                <w:rFonts w:ascii="Arial" w:hAnsi="Arial" w:cs="Arial"/>
                <w:bCs/>
                <w:sz w:val="22"/>
                <w:szCs w:val="22"/>
              </w:rPr>
              <w:t xml:space="preserve">decision making under uncertainty. Knowledge gained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by leading </w:t>
            </w:r>
            <w:r w:rsidR="00421136">
              <w:rPr>
                <w:rFonts w:ascii="Arial" w:hAnsi="Arial" w:cs="Arial"/>
                <w:bCs/>
                <w:sz w:val="22"/>
                <w:szCs w:val="22"/>
              </w:rPr>
              <w:t xml:space="preserve">international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practitioners of adaptive pathways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will be shared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 in this session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recent </w:t>
            </w:r>
            <w:r w:rsidR="00E8654B" w:rsidRPr="00E8654B">
              <w:rPr>
                <w:rFonts w:ascii="Arial" w:hAnsi="Arial" w:cs="Arial"/>
                <w:bCs/>
                <w:sz w:val="22"/>
                <w:szCs w:val="22"/>
              </w:rPr>
              <w:t>novel developments that extend the use of pathways to accelerate adaptation action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 in a range of settings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will be presented and discussed with participants.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Examples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include</w:t>
            </w:r>
            <w:r w:rsidR="0003248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EB2000">
              <w:rPr>
                <w:rFonts w:ascii="Arial" w:hAnsi="Arial" w:cs="Arial"/>
                <w:bCs/>
                <w:sz w:val="22"/>
                <w:szCs w:val="22"/>
              </w:rPr>
              <w:t xml:space="preserve">the design of signals and triggers for the development and implementation of pathways plans; considering </w:t>
            </w:r>
            <w:r w:rsidR="00EB2000" w:rsidRPr="00E8654B">
              <w:rPr>
                <w:rFonts w:ascii="Arial" w:hAnsi="Arial" w:cs="Arial"/>
                <w:bCs/>
                <w:sz w:val="22"/>
                <w:szCs w:val="22"/>
              </w:rPr>
              <w:t xml:space="preserve">multiple </w:t>
            </w:r>
            <w:r w:rsidR="00EB2000">
              <w:rPr>
                <w:rFonts w:ascii="Arial" w:hAnsi="Arial" w:cs="Arial"/>
                <w:bCs/>
                <w:sz w:val="22"/>
                <w:szCs w:val="22"/>
              </w:rPr>
              <w:t xml:space="preserve">risks in decision </w:t>
            </w:r>
            <w:proofErr w:type="gramStart"/>
            <w:r w:rsidR="00EB2000">
              <w:rPr>
                <w:rFonts w:ascii="Arial" w:hAnsi="Arial" w:cs="Arial"/>
                <w:bCs/>
                <w:sz w:val="22"/>
                <w:szCs w:val="22"/>
              </w:rPr>
              <w:t>making;</w:t>
            </w:r>
            <w:r w:rsidR="00EB2000" w:rsidRPr="00E865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spatial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>ly</w:t>
            </w:r>
            <w:proofErr w:type="gramEnd"/>
            <w:r w:rsidR="00B74584">
              <w:rPr>
                <w:rFonts w:ascii="Arial" w:hAnsi="Arial" w:cs="Arial"/>
                <w:bCs/>
                <w:sz w:val="22"/>
                <w:szCs w:val="22"/>
              </w:rPr>
              <w:t>-explicit ways to inform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3248B">
              <w:rPr>
                <w:rFonts w:ascii="Arial" w:hAnsi="Arial" w:cs="Arial"/>
                <w:bCs/>
                <w:sz w:val="22"/>
                <w:szCs w:val="22"/>
              </w:rPr>
              <w:t>strategic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regional</w:t>
            </w:r>
            <w:r w:rsidR="0003248B">
              <w:rPr>
                <w:rFonts w:ascii="Arial" w:hAnsi="Arial" w:cs="Arial"/>
                <w:bCs/>
                <w:sz w:val="22"/>
                <w:szCs w:val="22"/>
              </w:rPr>
              <w:t xml:space="preserve"> land-use </w:t>
            </w:r>
            <w:r w:rsidR="00A25782">
              <w:rPr>
                <w:rFonts w:ascii="Arial" w:hAnsi="Arial" w:cs="Arial"/>
                <w:bCs/>
                <w:sz w:val="22"/>
                <w:szCs w:val="22"/>
              </w:rPr>
              <w:t xml:space="preserve">and asset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 w:rsidR="0003248B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identifying </w:t>
            </w:r>
            <w:r w:rsidR="00E8654B" w:rsidRPr="00E8654B">
              <w:rPr>
                <w:rFonts w:ascii="Arial" w:hAnsi="Arial" w:cs="Arial"/>
                <w:bCs/>
                <w:sz w:val="22"/>
                <w:szCs w:val="22"/>
              </w:rPr>
              <w:t xml:space="preserve">opportunity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windows for</w:t>
            </w:r>
            <w:r w:rsidR="00E8654B" w:rsidRPr="00E8654B">
              <w:rPr>
                <w:rFonts w:ascii="Arial" w:hAnsi="Arial" w:cs="Arial"/>
                <w:bCs/>
                <w:sz w:val="22"/>
                <w:szCs w:val="22"/>
              </w:rPr>
              <w:t xml:space="preserve"> action</w:t>
            </w:r>
            <w:r w:rsidR="00EB2000">
              <w:rPr>
                <w:rFonts w:ascii="Arial" w:hAnsi="Arial" w:cs="Arial"/>
                <w:bCs/>
                <w:sz w:val="22"/>
                <w:szCs w:val="22"/>
              </w:rPr>
              <w:t>; opportunities for complementary Indigenous (Māori) adaptive pathways.</w:t>
            </w:r>
            <w:r w:rsidR="00E8654B" w:rsidRPr="00E865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A4B5B31" w14:textId="77777777" w:rsidR="00B07FF4" w:rsidRDefault="00B07FF4" w:rsidP="00E86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7B6203" w14:textId="657D5D3C" w:rsidR="00143797" w:rsidRPr="00143797" w:rsidRDefault="0003248B" w:rsidP="0014379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Adaptive pathways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a “fit for purpose”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(i.e., flexible and tailorable)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method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ology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support the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assess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>ment of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risks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opportunities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, identify adaptation options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inform / guide strategic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actions</w:t>
            </w:r>
            <w:r w:rsidR="00A25782">
              <w:rPr>
                <w:rFonts w:ascii="Arial" w:hAnsi="Arial" w:cs="Arial"/>
                <w:bCs/>
                <w:sz w:val="22"/>
                <w:szCs w:val="22"/>
              </w:rPr>
              <w:t xml:space="preserve"> in situations of uncertainty about the future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approach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facilitates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supports collective sense- and decision-making that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>ensure</w:t>
            </w:r>
            <w:r w:rsidR="00A2578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prioritised adaptation actions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avoid ‘lock-in” of unsustainable choices and thus help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avoid costly maladaptive actions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(Haasnoot et al</w:t>
            </w:r>
            <w:r w:rsidR="00B7458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2013). Several jurisdictions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globally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have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been using</w:t>
            </w:r>
            <w:r w:rsidR="001776A0">
              <w:rPr>
                <w:rFonts w:ascii="Arial" w:hAnsi="Arial" w:cs="Arial"/>
                <w:bCs/>
                <w:sz w:val="22"/>
                <w:szCs w:val="22"/>
              </w:rPr>
              <w:t xml:space="preserve"> and experimenting with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a range of DMDU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(Decision-making under deep uncertainty)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methods including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 DAPP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(Dynamic adaptive policy pathways)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, RDM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(Robust decision making)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, ROA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(Real options analysis), and 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>limate resilient (systemic-risk informed) development pathways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 xml:space="preserve">(Haasnoot, de Fant, Kwakkel, Lawrence 2024; Lawrence et al 2025; Wise 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2014</w:t>
            </w:r>
            <w:r w:rsidR="00B07FF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776A0">
              <w:rPr>
                <w:rFonts w:ascii="Arial" w:hAnsi="Arial" w:cs="Arial"/>
                <w:bCs/>
                <w:sz w:val="22"/>
                <w:szCs w:val="22"/>
              </w:rPr>
              <w:t xml:space="preserve"> to meet the diverse needs of decision makers, informed by the </w:t>
            </w:r>
            <w:r w:rsidR="00A25782">
              <w:rPr>
                <w:rFonts w:ascii="Arial" w:hAnsi="Arial" w:cs="Arial"/>
                <w:bCs/>
                <w:sz w:val="22"/>
                <w:szCs w:val="22"/>
              </w:rPr>
              <w:t xml:space="preserve">changing environment, </w:t>
            </w:r>
            <w:r w:rsidR="001776A0">
              <w:rPr>
                <w:rFonts w:ascii="Arial" w:hAnsi="Arial" w:cs="Arial"/>
                <w:bCs/>
                <w:sz w:val="22"/>
                <w:szCs w:val="22"/>
              </w:rPr>
              <w:t>vagaries and nuances of the diverse decision contexts within which these stakeholders need to make decisions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437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43797" w:rsidRPr="00143797">
              <w:rPr>
                <w:rFonts w:ascii="Arial" w:hAnsi="Arial" w:cs="Arial"/>
                <w:bCs/>
                <w:sz w:val="22"/>
                <w:szCs w:val="22"/>
              </w:rPr>
              <w:t>Pathways approaches in particular have been applied across 59 countries, and translated into practice</w:t>
            </w:r>
            <w:r w:rsidR="0014379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43797" w:rsidRPr="00143797">
              <w:rPr>
                <w:rFonts w:ascii="Arial" w:hAnsi="Arial" w:cs="Arial"/>
                <w:bCs/>
                <w:sz w:val="22"/>
                <w:szCs w:val="22"/>
              </w:rPr>
              <w:t xml:space="preserve"> with around 13 guidance’s spanning different sectors</w:t>
            </w:r>
          </w:p>
          <w:p w14:paraId="138CD74A" w14:textId="676BBFE4" w:rsidR="001776A0" w:rsidRDefault="00143797" w:rsidP="0014379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3797">
              <w:rPr>
                <w:rFonts w:ascii="Arial" w:hAnsi="Arial" w:cs="Arial"/>
                <w:bCs/>
                <w:sz w:val="22"/>
                <w:szCs w:val="22"/>
              </w:rPr>
              <w:t>(Haasnoot, Di Fant, Kwakkel, Lawrence 2024).</w:t>
            </w:r>
          </w:p>
          <w:p w14:paraId="50B377C6" w14:textId="77777777" w:rsidR="00143797" w:rsidRDefault="00143797" w:rsidP="0014379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09A39" w14:textId="37541172" w:rsidR="006D6639" w:rsidRDefault="001776A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session will provide an inclusive, open and deliberative space for the novel </w:t>
            </w:r>
            <w:r w:rsidR="00D41538">
              <w:rPr>
                <w:rFonts w:ascii="Arial" w:hAnsi="Arial" w:cs="Arial"/>
                <w:bCs/>
                <w:sz w:val="22"/>
                <w:szCs w:val="22"/>
              </w:rPr>
              <w:t xml:space="preserve"> applications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of</w:t>
            </w:r>
            <w:r w:rsidR="00B07FF4" w:rsidRPr="00B07FF4">
              <w:rPr>
                <w:rFonts w:ascii="Arial" w:hAnsi="Arial" w:cs="Arial"/>
                <w:bCs/>
                <w:sz w:val="22"/>
                <w:szCs w:val="22"/>
              </w:rPr>
              <w:t xml:space="preserve"> adaptive pathways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be shared. The session will ensure the critical lessons about what worked and what didn’t work are raised and discussed</w:t>
            </w:r>
            <w:r w:rsidR="006D6639">
              <w:rPr>
                <w:rFonts w:ascii="Arial" w:hAnsi="Arial" w:cs="Arial"/>
                <w:bCs/>
                <w:sz w:val="22"/>
                <w:szCs w:val="22"/>
              </w:rPr>
              <w:t xml:space="preserve">; particularly highlighting whether (and how) the adaptive pathways approach was able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generate </w:t>
            </w:r>
            <w:r w:rsidR="00A963F1">
              <w:rPr>
                <w:rFonts w:ascii="Arial" w:hAnsi="Arial" w:cs="Arial"/>
                <w:bCs/>
                <w:sz w:val="22"/>
                <w:szCs w:val="22"/>
              </w:rPr>
              <w:t>value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stakeholders (decision makers)</w:t>
            </w:r>
            <w:r w:rsidR="00A963F1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B07FF4" w:rsidRPr="00B07FF4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6D6639">
              <w:rPr>
                <w:rFonts w:ascii="Arial" w:hAnsi="Arial" w:cs="Arial"/>
                <w:bCs/>
                <w:sz w:val="22"/>
                <w:szCs w:val="22"/>
              </w:rPr>
              <w:t xml:space="preserve">under what conditions this was possible.  The session will include examples of novel </w:t>
            </w:r>
            <w:r w:rsidR="00B07FF4" w:rsidRPr="00B07FF4">
              <w:rPr>
                <w:rFonts w:ascii="Arial" w:hAnsi="Arial" w:cs="Arial"/>
                <w:bCs/>
                <w:sz w:val="22"/>
                <w:szCs w:val="22"/>
              </w:rPr>
              <w:t>experiment</w:t>
            </w:r>
            <w:r w:rsidR="006D6639">
              <w:rPr>
                <w:rFonts w:ascii="Arial" w:hAnsi="Arial" w:cs="Arial"/>
                <w:bCs/>
                <w:sz w:val="22"/>
                <w:szCs w:val="22"/>
              </w:rPr>
              <w:t xml:space="preserve">s / demonstrations of adaptive pathways from 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many different</w:t>
            </w:r>
            <w:r w:rsidR="00B07FF4" w:rsidRPr="00B07FF4">
              <w:rPr>
                <w:rFonts w:ascii="Arial" w:hAnsi="Arial" w:cs="Arial"/>
                <w:bCs/>
                <w:sz w:val="22"/>
                <w:szCs w:val="22"/>
              </w:rPr>
              <w:t xml:space="preserve"> domains of adaptation </w:t>
            </w:r>
            <w:r w:rsidR="006D6639">
              <w:rPr>
                <w:rFonts w:ascii="Arial" w:hAnsi="Arial" w:cs="Arial"/>
                <w:bCs/>
                <w:sz w:val="22"/>
                <w:szCs w:val="22"/>
              </w:rPr>
              <w:t xml:space="preserve">encompassing: </w:t>
            </w:r>
          </w:p>
          <w:p w14:paraId="3A807CA7" w14:textId="77777777" w:rsidR="00A963F1" w:rsidRDefault="00A963F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09BD34" w14:textId="4AABA05E" w:rsidR="00BC6810" w:rsidRDefault="00A963F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With climate change impacts and risks becoming more complex and severe (Simpson et al 2022), and extreme rainfall and ongoing climate drivers like temperature and SLR affect</w:t>
            </w:r>
            <w:r w:rsidR="006D6639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wider natural and human systems, we need further enhancements of adaptive pathways and novel processes in their development.</w:t>
            </w:r>
          </w:p>
          <w:p w14:paraId="138B9CCC" w14:textId="77777777" w:rsidR="00A963F1" w:rsidRDefault="00A963F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D21375" w14:textId="60F52BBB" w:rsidR="00BF74DF" w:rsidRDefault="00A963F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panel will comprise global experts in this field across different domains presenting some of the novel developments in 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adaptive pathways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It will draw participants from science, practice and in particular will discuss where future pathways endeavours could and should lead.</w:t>
            </w:r>
          </w:p>
          <w:p w14:paraId="175F4CBF" w14:textId="4764A189" w:rsidR="00C8423A" w:rsidRPr="005C3E51" w:rsidRDefault="00C8423A" w:rsidP="003C62C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4828A0" w:rsidRPr="0003525D" w14:paraId="76E17AFD" w14:textId="77777777" w:rsidTr="009F4EA0">
        <w:trPr>
          <w:trHeight w:val="576"/>
        </w:trPr>
        <w:tc>
          <w:tcPr>
            <w:tcW w:w="8640" w:type="dxa"/>
          </w:tcPr>
          <w:p w14:paraId="77EDFBC8" w14:textId="20D46F1F" w:rsidR="004828A0" w:rsidRDefault="00670B0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INDIVIDUAL PANELLIST CONTRIBUTION</w:t>
            </w:r>
          </w:p>
          <w:p w14:paraId="0DC49183" w14:textId="77777777" w:rsidR="006D4A81" w:rsidRDefault="006D4A81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CE814F8" w14:textId="60C557C2" w:rsidR="00E9389C" w:rsidRP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9389C">
              <w:rPr>
                <w:rFonts w:ascii="Arial" w:hAnsi="Arial" w:cs="Arial"/>
                <w:b/>
                <w:sz w:val="22"/>
                <w:szCs w:val="22"/>
                <w:u w:val="single"/>
              </w:rPr>
              <w:t>Moderator Details</w:t>
            </w:r>
          </w:p>
          <w:p w14:paraId="638FD688" w14:textId="0CEB1356" w:rsid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DF40E1">
              <w:rPr>
                <w:rFonts w:ascii="Arial" w:hAnsi="Arial" w:cs="Arial"/>
                <w:b/>
                <w:sz w:val="22"/>
                <w:szCs w:val="22"/>
              </w:rPr>
              <w:t xml:space="preserve"> Judy Lawrence</w:t>
            </w:r>
          </w:p>
          <w:p w14:paraId="5921086D" w14:textId="762A030A" w:rsidR="00E9389C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DF40E1">
              <w:rPr>
                <w:rFonts w:ascii="Arial" w:hAnsi="Arial" w:cs="Arial"/>
                <w:b/>
                <w:sz w:val="22"/>
                <w:szCs w:val="22"/>
              </w:rPr>
              <w:t xml:space="preserve"> V</w:t>
            </w:r>
            <w:r w:rsidR="00D26696">
              <w:rPr>
                <w:rFonts w:ascii="Arial" w:hAnsi="Arial" w:cs="Arial"/>
                <w:b/>
                <w:sz w:val="22"/>
                <w:szCs w:val="22"/>
              </w:rPr>
              <w:t>ictoria University of Wellington, New Zealand</w:t>
            </w:r>
          </w:p>
          <w:p w14:paraId="421D967A" w14:textId="25B77976" w:rsidR="00D26696" w:rsidRPr="00D26696" w:rsidRDefault="003C62C2" w:rsidP="004828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C62C2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26696" w:rsidRPr="00D26696">
              <w:rPr>
                <w:rFonts w:ascii="Arial" w:hAnsi="Arial" w:cs="Arial"/>
                <w:bCs/>
                <w:sz w:val="22"/>
                <w:szCs w:val="22"/>
              </w:rPr>
              <w:t>Judy</w:t>
            </w:r>
            <w:r w:rsidR="00D26696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26696">
              <w:rPr>
                <w:rFonts w:ascii="Arial" w:hAnsi="Arial" w:cs="Arial"/>
                <w:bCs/>
                <w:sz w:val="22"/>
                <w:szCs w:val="22"/>
              </w:rPr>
              <w:t xml:space="preserve"> research focuses on science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D26696">
              <w:rPr>
                <w:rFonts w:ascii="Arial" w:hAnsi="Arial" w:cs="Arial"/>
                <w:bCs/>
                <w:sz w:val="22"/>
                <w:szCs w:val="22"/>
              </w:rPr>
              <w:t>practice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26696">
              <w:rPr>
                <w:rFonts w:ascii="Arial" w:hAnsi="Arial" w:cs="Arial"/>
                <w:bCs/>
                <w:sz w:val="22"/>
                <w:szCs w:val="22"/>
              </w:rPr>
              <w:t xml:space="preserve"> climate adaptation, risk management, sea-level rise, coastal and flood management. She developed the practice community in NZ for Dynamic Adaptive Pathways Planning (DAPP) and related 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 xml:space="preserve">decision-making </w:t>
            </w:r>
            <w:r w:rsidR="00D26696">
              <w:rPr>
                <w:rFonts w:ascii="Arial" w:hAnsi="Arial" w:cs="Arial"/>
                <w:bCs/>
                <w:sz w:val="22"/>
                <w:szCs w:val="22"/>
              </w:rPr>
              <w:t>guidance. She works with global partners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, is an IPCC lead author</w:t>
            </w:r>
            <w:r w:rsidR="00D26696">
              <w:rPr>
                <w:rFonts w:ascii="Arial" w:hAnsi="Arial" w:cs="Arial"/>
                <w:bCs/>
                <w:sz w:val="22"/>
                <w:szCs w:val="22"/>
              </w:rPr>
              <w:t xml:space="preserve"> and a NZ Climate Change Commissioner.</w:t>
            </w:r>
            <w:r w:rsidR="00D26696" w:rsidRPr="00D266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C0DC7A3" w14:textId="02F505C5" w:rsidR="00E9389C" w:rsidRDefault="00BB2D1F" w:rsidP="004828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Objective: </w:t>
            </w:r>
            <w:r w:rsidRPr="00BB2D1F">
              <w:rPr>
                <w:rFonts w:ascii="Arial" w:hAnsi="Arial" w:cs="Arial"/>
                <w:bCs/>
                <w:sz w:val="22"/>
                <w:szCs w:val="22"/>
              </w:rPr>
              <w:t>Judy will introduce the session with context about DAPP and its global application</w:t>
            </w:r>
            <w:r w:rsidR="009711E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DDAF4E" w14:textId="77777777" w:rsidR="00D47925" w:rsidRDefault="00D47925" w:rsidP="004828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702571" w14:textId="01925F0B" w:rsidR="00050AA4" w:rsidRDefault="0045077B" w:rsidP="004828A0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D47925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Signals</w:t>
            </w:r>
          </w:p>
          <w:p w14:paraId="1BE53206" w14:textId="77777777" w:rsidR="00D47925" w:rsidRPr="00D47925" w:rsidRDefault="00D47925" w:rsidP="004828A0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4464D6C8" w14:textId="5E52EDAA" w:rsidR="00050AA4" w:rsidRPr="006D4A81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 Adaptation Signal</w:t>
            </w:r>
            <w:r w:rsidR="003C62C2">
              <w:rPr>
                <w:rFonts w:ascii="Arial" w:hAnsi="Arial" w:cs="Arial"/>
                <w:b/>
                <w:sz w:val="22"/>
                <w:szCs w:val="22"/>
                <w:u w:val="single"/>
              </w:rPr>
              <w:t>s</w:t>
            </w:r>
          </w:p>
          <w:p w14:paraId="6B909883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 Marjolijn Haasnoot</w:t>
            </w:r>
          </w:p>
          <w:p w14:paraId="2537BBF9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 Utrecht University &amp; Deltares, The Netherlands</w:t>
            </w:r>
          </w:p>
          <w:p w14:paraId="663305F6" w14:textId="543A2CCA" w:rsidR="00050AA4" w:rsidRPr="00BB2D1F" w:rsidRDefault="00050AA4" w:rsidP="00050AA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Bio </w:t>
            </w:r>
            <w:r w:rsidRPr="00BB2D1F">
              <w:rPr>
                <w:rFonts w:ascii="Arial" w:hAnsi="Arial" w:cs="Arial"/>
                <w:bCs/>
                <w:sz w:val="22"/>
                <w:szCs w:val="22"/>
              </w:rPr>
              <w:t>Marjolijn Haasnoot is a professor o</w:t>
            </w:r>
            <w:r w:rsidR="00787E7E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BB2D1F">
              <w:rPr>
                <w:rFonts w:ascii="Arial" w:hAnsi="Arial" w:cs="Arial"/>
                <w:bCs/>
                <w:sz w:val="22"/>
                <w:szCs w:val="22"/>
              </w:rPr>
              <w:t xml:space="preserve"> climate adaptation in deltas and coasts. Her work focuses on the physical solution space and pathways to adaptation, and</w:t>
            </w:r>
          </w:p>
          <w:p w14:paraId="4E78ABA6" w14:textId="77777777" w:rsidR="00050AA4" w:rsidRDefault="00050AA4" w:rsidP="00050AA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B2D1F">
              <w:rPr>
                <w:rFonts w:ascii="Arial" w:hAnsi="Arial" w:cs="Arial"/>
                <w:bCs/>
                <w:sz w:val="22"/>
                <w:szCs w:val="22"/>
              </w:rPr>
              <w:t>monitoring for signal detection. Haasnoot is a lead author of IPCC AR6 and a member of the Scientific Climate Council of the Netherlands.</w:t>
            </w:r>
          </w:p>
          <w:p w14:paraId="5A92CF81" w14:textId="77777777" w:rsidR="00D47925" w:rsidRPr="00BB2D1F" w:rsidRDefault="00D47925" w:rsidP="00050AA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5DCDC2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Title: Signals to inform effective adaptation</w:t>
            </w:r>
          </w:p>
          <w:p w14:paraId="2D2E8ECA" w14:textId="77777777" w:rsidR="00D47925" w:rsidRDefault="00D47925" w:rsidP="00050A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B45C5" w14:textId="77777777" w:rsidR="00050AA4" w:rsidRDefault="00050AA4" w:rsidP="00050AA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Contribution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F2F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0A07C8B" w14:textId="77777777" w:rsidR="00050AA4" w:rsidRPr="00E9389C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9389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</w:p>
          <w:p w14:paraId="07D6C282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Signals can play an important role in informing when and how to adapt, and</w:t>
            </w:r>
          </w:p>
          <w:p w14:paraId="54F098D1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accelerate adaptation despite (and because) uncertainties about climate change and</w:t>
            </w:r>
          </w:p>
          <w:p w14:paraId="2D236E7B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its impacts. While several studies acknowledge the need to monitor, the use signals to</w:t>
            </w:r>
          </w:p>
          <w:p w14:paraId="43523562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inform the design, implementation and adjustment of adaptive plans is still</w:t>
            </w:r>
          </w:p>
          <w:p w14:paraId="43D6BC21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underdeveloped. to support appropriate and timely adaptation, is still developing in</w:t>
            </w:r>
          </w:p>
          <w:p w14:paraId="1FFC1B6D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practice and in science.</w:t>
            </w:r>
          </w:p>
          <w:p w14:paraId="25B4EB7B" w14:textId="77777777" w:rsidR="00050AA4" w:rsidRPr="00BB2D1F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</w:p>
          <w:p w14:paraId="28BAA115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This study discusses the value of signals for adaptation.</w:t>
            </w:r>
          </w:p>
          <w:p w14:paraId="1AC25C7A" w14:textId="77777777" w:rsidR="00050AA4" w:rsidRPr="00BB2D1F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</w:p>
          <w:p w14:paraId="2D62707D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We identify signals for coastal adaptation using recent literature. In addition, we</w:t>
            </w:r>
          </w:p>
          <w:p w14:paraId="34823FC8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illustrate the value of signals for adaptive pathways planning in a coastal are in the</w:t>
            </w:r>
          </w:p>
          <w:p w14:paraId="03D5A35E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Netherlands.</w:t>
            </w:r>
          </w:p>
          <w:p w14:paraId="35E8FA1B" w14:textId="77777777" w:rsidR="00050AA4" w:rsidRPr="00BB2D1F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</w:p>
          <w:p w14:paraId="45CFB70C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We find various signals from source to impacts, but their relevance to adaptation could</w:t>
            </w:r>
          </w:p>
          <w:p w14:paraId="4CAE2E03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be strengthened. Signals can be valuable if they are timely, reliable and convincing.</w:t>
            </w:r>
          </w:p>
          <w:p w14:paraId="5127FD15" w14:textId="56D52483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For some decisions when there is a long lead time for implementation</w:t>
            </w:r>
            <w:r w:rsidR="00787E7E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 xml:space="preserve"> and which are</w:t>
            </w:r>
          </w:p>
          <w:p w14:paraId="06250039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needed already with small climate changes, their value is less on when to adapt, but</w:t>
            </w:r>
          </w:p>
          <w:p w14:paraId="54864C45" w14:textId="77777777" w:rsidR="00050AA4" w:rsidRPr="00BB2D1F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B2D1F">
              <w:rPr>
                <w:rFonts w:ascii="Arial" w:hAnsi="Arial" w:cs="Arial"/>
                <w:sz w:val="22"/>
                <w:szCs w:val="22"/>
                <w:lang w:val="en-CA"/>
              </w:rPr>
              <w:t>could inform how to adapt.</w:t>
            </w:r>
          </w:p>
          <w:p w14:paraId="447F6F5B" w14:textId="77777777" w:rsidR="003C62C2" w:rsidRDefault="003C62C2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0D2B53F" w14:textId="77777777" w:rsidR="003C62C2" w:rsidRDefault="003C62C2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E83EC5C" w14:textId="77777777" w:rsidR="0045077B" w:rsidRDefault="00050AA4" w:rsidP="004828A0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45077B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lastRenderedPageBreak/>
              <w:t>Complexity</w:t>
            </w:r>
          </w:p>
          <w:p w14:paraId="4CE92FC3" w14:textId="051700BC" w:rsidR="00050AA4" w:rsidRPr="0045077B" w:rsidRDefault="003C62C2" w:rsidP="004828A0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45077B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28DA223C" w14:textId="77777777" w:rsidR="00050AA4" w:rsidRPr="006D4A81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53601BD5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 Julius Schlumberger</w:t>
            </w:r>
          </w:p>
          <w:p w14:paraId="29189186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 Deltares, The Netherlands</w:t>
            </w:r>
          </w:p>
          <w:p w14:paraId="2E937EAC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2B74">
              <w:rPr>
                <w:rFonts w:ascii="Arial" w:hAnsi="Arial" w:cs="Arial"/>
                <w:bCs/>
                <w:sz w:val="22"/>
                <w:szCs w:val="22"/>
              </w:rPr>
              <w:t>Julius is a PhD Candidate at the VU Amsterdam in the Netherlands who’s been working on extending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52B74">
              <w:rPr>
                <w:rFonts w:ascii="Arial" w:hAnsi="Arial" w:cs="Arial"/>
                <w:bCs/>
                <w:sz w:val="22"/>
                <w:szCs w:val="22"/>
              </w:rPr>
              <w:t>the DAPP methodology to be applicable in complex systems of multi-risk, where interactions between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52B74">
              <w:rPr>
                <w:rFonts w:ascii="Arial" w:hAnsi="Arial" w:cs="Arial"/>
                <w:bCs/>
                <w:sz w:val="22"/>
                <w:szCs w:val="22"/>
              </w:rPr>
              <w:t>and across hazards and sectors raises the potential of synergies and trade-offs across pathways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52B74"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  <w:r w:rsidRPr="00C52B7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EC1D4AB" w14:textId="77777777" w:rsidR="00D47925" w:rsidRDefault="00D47925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6F60C7" w14:textId="77777777" w:rsidR="00050AA4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Title: </w:t>
            </w:r>
            <w:r w:rsidRPr="00BB2D1F">
              <w:rPr>
                <w:rFonts w:ascii="Arial" w:hAnsi="Arial" w:cs="Arial"/>
                <w:b/>
                <w:bCs/>
                <w:sz w:val="22"/>
                <w:szCs w:val="22"/>
              </w:rPr>
              <w:t>Lessons learned from developing multi-risk pathways in four European case studies</w:t>
            </w:r>
          </w:p>
          <w:p w14:paraId="2AE09965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698F23" w14:textId="77777777" w:rsidR="00050AA4" w:rsidRDefault="00050AA4" w:rsidP="00050AA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Contribution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F2F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DA4E438" w14:textId="77777777" w:rsidR="00050AA4" w:rsidRPr="00C52B74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: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We’ve developed DAPP-MR (DAPP for multi-risk) an analytical framework that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supports the analysis of complex systems by identifying the key elements and offering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an approach to deal with complexity. As a new approach, its benefits and limitations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still need to be investigated.</w:t>
            </w:r>
          </w:p>
          <w:p w14:paraId="79D3FC27" w14:textId="77777777" w:rsidR="00050AA4" w:rsidRPr="00C52B74" w:rsidRDefault="00050AA4" w:rsidP="00050AA4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9389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: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Share lessons learned regarding common and unique benefits in using DAPP-MR in a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set of divers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e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 xml:space="preserve"> case studies (divers in terms of spatial scope, sectoral focus, hazards-of-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interest) for the qualitative development of pathways.</w:t>
            </w:r>
          </w:p>
          <w:p w14:paraId="547D4CC4" w14:textId="77777777" w:rsidR="00050AA4" w:rsidRPr="00E9389C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9389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: </w:t>
            </w: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We used a multiple case study approach for replication of theory to test which propositions about DAPP-MR are generic and which are specific. Development of pathways used a mixed-method approach including stakeholder co-production elements, desk study, interviews etc.</w:t>
            </w:r>
          </w:p>
          <w:p w14:paraId="65F6EAEB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9389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: </w:t>
            </w:r>
          </w:p>
          <w:p w14:paraId="4C9F32E8" w14:textId="77777777" w:rsidR="00050AA4" w:rsidRPr="00C52B74" w:rsidRDefault="00050AA4" w:rsidP="00050AA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Addressing complex systems not only requires a fitting analytical framework</w:t>
            </w:r>
          </w:p>
          <w:p w14:paraId="1270B996" w14:textId="77777777" w:rsidR="00050AA4" w:rsidRPr="00C52B74" w:rsidRDefault="00050AA4" w:rsidP="00050AA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(which DAPP-MR did), but also sufficient tools to capture and organize the wealth of information required as well as a sense of urgency/awareness by the</w:t>
            </w:r>
          </w:p>
          <w:p w14:paraId="098C7807" w14:textId="77777777" w:rsidR="00050AA4" w:rsidRPr="00C52B74" w:rsidRDefault="00050AA4" w:rsidP="00050AA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stakeholders involved.</w:t>
            </w:r>
          </w:p>
          <w:p w14:paraId="6CE5516C" w14:textId="77777777" w:rsidR="00050AA4" w:rsidRPr="00C52B74" w:rsidRDefault="00050AA4" w:rsidP="00050AA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 w:hint="eastAsia"/>
                <w:sz w:val="22"/>
                <w:szCs w:val="22"/>
                <w:lang w:val="en-CA"/>
              </w:rPr>
              <w:t>Knowledge of multi-sectoral interactions seems to bias analysis focus, while</w:t>
            </w:r>
          </w:p>
          <w:p w14:paraId="347194DF" w14:textId="77777777" w:rsidR="00050AA4" w:rsidRPr="00C52B74" w:rsidRDefault="00050AA4" w:rsidP="00050AA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(reliable, context-specific) information on multi-hazard interactions is still very</w:t>
            </w:r>
          </w:p>
          <w:p w14:paraId="0468F393" w14:textId="77777777" w:rsidR="00050AA4" w:rsidRPr="00C52B74" w:rsidRDefault="00050AA4" w:rsidP="00050AA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52B74">
              <w:rPr>
                <w:rFonts w:ascii="Arial" w:hAnsi="Arial" w:cs="Arial"/>
                <w:sz w:val="22"/>
                <w:szCs w:val="22"/>
                <w:lang w:val="en-CA"/>
              </w:rPr>
              <w:t>scarce.</w:t>
            </w:r>
          </w:p>
          <w:p w14:paraId="3D46BD69" w14:textId="77777777" w:rsidR="00050AA4" w:rsidRDefault="00050AA4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CC88DA9" w14:textId="1FCE73D2" w:rsidR="00BB2D1F" w:rsidRPr="00050AA4" w:rsidRDefault="00050AA4" w:rsidP="004828A0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050AA4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Spatial Adaptive pathways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1</w:t>
            </w:r>
          </w:p>
          <w:p w14:paraId="4867F7DF" w14:textId="77777777" w:rsidR="00050AA4" w:rsidRDefault="00050AA4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F0A8726" w14:textId="23211D26" w:rsidR="00E9389C" w:rsidRPr="006D4A81" w:rsidRDefault="00E9389C" w:rsidP="004828A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 w:rsidR="00050AA4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</w:p>
          <w:p w14:paraId="06108ED4" w14:textId="6ED02462" w:rsidR="00E9389C" w:rsidRDefault="00E9389C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DF40E1">
              <w:rPr>
                <w:rFonts w:ascii="Arial" w:hAnsi="Arial" w:cs="Arial"/>
                <w:b/>
                <w:sz w:val="22"/>
                <w:szCs w:val="22"/>
              </w:rPr>
              <w:t xml:space="preserve"> Russ Wise</w:t>
            </w:r>
          </w:p>
          <w:p w14:paraId="4444092C" w14:textId="7C316CC4" w:rsidR="00E9389C" w:rsidRDefault="00E9389C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DF40E1">
              <w:rPr>
                <w:rFonts w:ascii="Arial" w:hAnsi="Arial" w:cs="Arial"/>
                <w:b/>
                <w:sz w:val="22"/>
                <w:szCs w:val="22"/>
              </w:rPr>
              <w:t xml:space="preserve"> CSIRO</w:t>
            </w:r>
            <w:r w:rsidR="00421136">
              <w:rPr>
                <w:rFonts w:ascii="Arial" w:hAnsi="Arial" w:cs="Arial"/>
                <w:b/>
                <w:sz w:val="22"/>
                <w:szCs w:val="22"/>
              </w:rPr>
              <w:t>, Australia</w:t>
            </w:r>
          </w:p>
          <w:p w14:paraId="3AEC2334" w14:textId="39A44AA3" w:rsidR="00E9389C" w:rsidRDefault="00E9389C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</w:p>
          <w:p w14:paraId="6F5DC74E" w14:textId="5296EC53" w:rsidR="00AE0E4B" w:rsidRPr="00D26696" w:rsidRDefault="00AE0E4B" w:rsidP="00E9389C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D26696">
              <w:rPr>
                <w:rFonts w:ascii="Arial" w:hAnsi="Arial" w:cs="Arial"/>
                <w:sz w:val="22"/>
                <w:szCs w:val="22"/>
              </w:rPr>
              <w:t xml:space="preserve">Russ has 20 years’ experience </w:t>
            </w:r>
            <w:r w:rsidRPr="00D26696">
              <w:rPr>
                <w:rFonts w:ascii="Arial" w:eastAsia="Calibri" w:hAnsi="Arial" w:cs="Arial"/>
                <w:sz w:val="22"/>
                <w:szCs w:val="22"/>
              </w:rPr>
              <w:t xml:space="preserve">leading applied R&amp;D programmes in Australia and South Africa. His work </w:t>
            </w:r>
            <w:r w:rsidR="009711E7">
              <w:rPr>
                <w:rFonts w:ascii="Arial" w:eastAsia="Calibri" w:hAnsi="Arial" w:cs="Arial"/>
                <w:sz w:val="22"/>
                <w:szCs w:val="22"/>
              </w:rPr>
              <w:t>focuses</w:t>
            </w:r>
            <w:r w:rsidRPr="00D2669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Pr="00D26696">
              <w:rPr>
                <w:rFonts w:ascii="Arial" w:eastAsia="Calibri" w:hAnsi="Arial" w:cs="Arial"/>
                <w:sz w:val="22"/>
                <w:szCs w:val="22"/>
              </w:rPr>
              <w:t>on:</w:t>
            </w:r>
            <w:proofErr w:type="gramEnd"/>
            <w:r w:rsidRPr="00D2669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26696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understanding the social-ecological and political-economy dimensions of climate adaptation; enhancing sense- and decision-making approaches to better consider uncertainty and ambiguity in knowledge; exploring innovative ways to increase investment into climate resilient development</w:t>
            </w:r>
            <w:r w:rsidR="009711E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A7EB68" w14:textId="77777777" w:rsidR="00AE0E4B" w:rsidRDefault="00AE0E4B" w:rsidP="00E938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AA0C79" w14:textId="2353FD3E" w:rsidR="00050AA4" w:rsidRDefault="00E9389C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42113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0AA4" w:rsidRPr="00050AA4">
              <w:rPr>
                <w:rFonts w:ascii="Arial" w:hAnsi="Arial" w:cs="Arial"/>
                <w:b/>
                <w:sz w:val="22"/>
                <w:szCs w:val="22"/>
              </w:rPr>
              <w:t>Spatial adaptation pathways to support delivery of safe and</w:t>
            </w:r>
            <w:r w:rsidR="00D479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0AA4" w:rsidRPr="00050AA4">
              <w:rPr>
                <w:rFonts w:ascii="Arial" w:hAnsi="Arial" w:cs="Arial"/>
                <w:b/>
                <w:sz w:val="22"/>
                <w:szCs w:val="22"/>
              </w:rPr>
              <w:t>affordable housing in regional Australia</w:t>
            </w:r>
          </w:p>
          <w:p w14:paraId="29640F8B" w14:textId="77777777" w:rsidR="00050AA4" w:rsidRDefault="00050AA4" w:rsidP="00050A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7A009" w14:textId="134733BB" w:rsidR="00BF74DF" w:rsidRDefault="00E9389C" w:rsidP="00E938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Contribution</w:t>
            </w:r>
            <w:r w:rsidR="004828A0"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828A0" w:rsidRPr="009F2F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37C5E33" w14:textId="0FF3080D" w:rsidR="00E9389C" w:rsidRDefault="00E9389C" w:rsidP="00421136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21136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lastRenderedPageBreak/>
              <w:t>Introduction</w:t>
            </w:r>
            <w:r w:rsid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: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>Coastal regions</w:t>
            </w:r>
            <w:r w:rsidR="009F4D72">
              <w:rPr>
                <w:rFonts w:ascii="Arial" w:hAnsi="Arial" w:cs="Arial"/>
                <w:sz w:val="22"/>
                <w:szCs w:val="22"/>
                <w:lang w:val="en-CA"/>
              </w:rPr>
              <w:t xml:space="preserve"> in Australia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F4D72">
              <w:rPr>
                <w:rFonts w:ascii="Arial" w:hAnsi="Arial" w:cs="Arial"/>
                <w:sz w:val="22"/>
                <w:szCs w:val="22"/>
                <w:lang w:val="en-CA"/>
              </w:rPr>
              <w:t xml:space="preserve">face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significant challenges </w:t>
            </w:r>
            <w:r w:rsidR="009F4D72">
              <w:rPr>
                <w:rFonts w:ascii="Arial" w:hAnsi="Arial" w:cs="Arial"/>
                <w:sz w:val="22"/>
                <w:szCs w:val="22"/>
                <w:lang w:val="en-CA"/>
              </w:rPr>
              <w:t xml:space="preserve">in meeting housing needs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>due to rapidly changing</w:t>
            </w:r>
            <w:r w:rsid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>populations and economies, spatial heterogeneity, and high levels of exposure to multiple</w:t>
            </w:r>
            <w:r w:rsid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>interacting hazards (erosion and inundation, floods, bushfire, landslips, storms and high</w:t>
            </w:r>
            <w:r w:rsid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winds). </w:t>
            </w:r>
            <w:r w:rsidR="009F4D72">
              <w:rPr>
                <w:rFonts w:ascii="Arial" w:hAnsi="Arial" w:cs="Arial"/>
                <w:sz w:val="22"/>
                <w:szCs w:val="22"/>
                <w:lang w:val="en-CA"/>
              </w:rPr>
              <w:t>D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>ecision makers face severe constraints in their technical and institutional</w:t>
            </w:r>
            <w:r w:rsidR="0042113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21136" w:rsidRPr="00421136">
              <w:rPr>
                <w:rFonts w:ascii="Arial" w:hAnsi="Arial" w:cs="Arial"/>
                <w:sz w:val="22"/>
                <w:szCs w:val="22"/>
                <w:lang w:val="en-CA"/>
              </w:rPr>
              <w:t>capabilities</w:t>
            </w:r>
            <w:r w:rsidR="009F4D72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2EAB2B00" w14:textId="6AD27298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/>
                <w:sz w:val="22"/>
                <w:szCs w:val="22"/>
              </w:rPr>
              <w:t>Objectives: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F4D72">
              <w:rPr>
                <w:rFonts w:ascii="Arial" w:hAnsi="Arial" w:cs="Arial"/>
                <w:bCs/>
                <w:sz w:val="22"/>
                <w:szCs w:val="22"/>
              </w:rPr>
              <w:t>Develop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and demonstrate:</w:t>
            </w:r>
          </w:p>
          <w:p w14:paraId="779D68E0" w14:textId="76033C60" w:rsidR="00421136" w:rsidRPr="00421136" w:rsidRDefault="00421136" w:rsidP="0042113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 w:hint="eastAsia"/>
                <w:bCs/>
                <w:sz w:val="22"/>
                <w:szCs w:val="22"/>
              </w:rPr>
              <w:t>A Regional Adaptive Pathways approach to planning (RAPP) for delivering safe</w:t>
            </w:r>
          </w:p>
          <w:p w14:paraId="6CCD5D52" w14:textId="77777777" w:rsidR="00421136" w:rsidRPr="00421136" w:rsidRDefault="00421136" w:rsidP="009F4D72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and affordable housing as part of state-wide strategic regional land-use</w:t>
            </w:r>
          </w:p>
          <w:p w14:paraId="1D820E0C" w14:textId="77777777" w:rsidR="00421136" w:rsidRDefault="00421136" w:rsidP="009F4D72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planning processes</w:t>
            </w:r>
          </w:p>
          <w:p w14:paraId="0F102E0F" w14:textId="1411E173" w:rsidR="009F4D72" w:rsidRPr="00421136" w:rsidRDefault="009F4D72" w:rsidP="009F4D7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21136">
              <w:rPr>
                <w:rFonts w:ascii="Arial" w:hAnsi="Arial" w:cs="Arial" w:hint="eastAsia"/>
                <w:bCs/>
                <w:sz w:val="22"/>
                <w:szCs w:val="22"/>
              </w:rPr>
              <w:t xml:space="preserve"> novel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>spatially informed</w:t>
            </w:r>
            <w:r w:rsidRPr="00421136">
              <w:rPr>
                <w:rFonts w:ascii="Arial" w:hAnsi="Arial" w:cs="Arial" w:hint="eastAsia"/>
                <w:bCs/>
                <w:sz w:val="22"/>
                <w:szCs w:val="22"/>
              </w:rPr>
              <w:t xml:space="preserve"> methodology for assessing multi-hazard disaster</w:t>
            </w:r>
          </w:p>
          <w:p w14:paraId="7AC3BB34" w14:textId="77777777" w:rsidR="009F4D72" w:rsidRPr="00421136" w:rsidRDefault="009F4D72" w:rsidP="009F4D72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risks and opportunities (MHDORA) under plausible scenarios of population,</w:t>
            </w:r>
          </w:p>
          <w:p w14:paraId="41F1BE37" w14:textId="77777777" w:rsidR="009F4D72" w:rsidRPr="00421136" w:rsidRDefault="009F4D72" w:rsidP="009F4D72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climate and natural hazard events</w:t>
            </w:r>
          </w:p>
          <w:p w14:paraId="09BECBEB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/>
                <w:sz w:val="22"/>
                <w:szCs w:val="22"/>
              </w:rPr>
              <w:t>Methodology: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The decisions-into-practice learning cycle underpinned the</w:t>
            </w:r>
          </w:p>
          <w:p w14:paraId="77A1A9B2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participatory approach. Hybrid qualitative-quantitative scenarios were developed to</w:t>
            </w:r>
          </w:p>
          <w:p w14:paraId="0FF7FBC4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inform the spatial and temporal analyses of multi-hazard risks and opportunities</w:t>
            </w:r>
          </w:p>
          <w:p w14:paraId="37824979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across the coastal region. These data and scenarios were used to develop spatial</w:t>
            </w:r>
          </w:p>
          <w:p w14:paraId="1C49746F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typologies of vulnerability by identifying patterns of combinations of coastal</w:t>
            </w:r>
          </w:p>
          <w:p w14:paraId="4904991F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landforms, settlement sizes, and proximity to critical services, to inform the</w:t>
            </w:r>
          </w:p>
          <w:p w14:paraId="50730916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development of scalable adaptative housing policy pathways.</w:t>
            </w:r>
          </w:p>
          <w:p w14:paraId="68306E20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/>
                <w:sz w:val="22"/>
                <w:szCs w:val="22"/>
              </w:rPr>
              <w:t>Findings: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Hybrid qual-quant scenarios, combined with the spatial patterns of</w:t>
            </w:r>
          </w:p>
          <w:p w14:paraId="24FDB95D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vulnerability, and the inclusive deliberative processes, were effective at overcoming</w:t>
            </w:r>
          </w:p>
          <w:p w14:paraId="34BCE24D" w14:textId="77777777" w:rsidR="00421136" w:rsidRPr="00421136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>the limits in available data / modelling to generate credible and socially legitimate</w:t>
            </w:r>
          </w:p>
          <w:p w14:paraId="32B1C33D" w14:textId="157AC34D" w:rsidR="00E9389C" w:rsidRDefault="00421136" w:rsidP="0042113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adaptive housing policy pathways. 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Given the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>novel and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contested 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adaptive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>options such as relocation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>creation of an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authorising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environment 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was necessary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>across 3 levels of government by bringing along senior level champions.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 Three times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usual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>amount of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time </w:t>
            </w:r>
            <w:r w:rsidR="00BC165F">
              <w:rPr>
                <w:rFonts w:ascii="Arial" w:hAnsi="Arial" w:cs="Arial"/>
                <w:bCs/>
                <w:sz w:val="22"/>
                <w:szCs w:val="22"/>
              </w:rPr>
              <w:t xml:space="preserve">was needed 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in building peoples’ capability </w:t>
            </w:r>
            <w:r w:rsidR="009748DA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Pr="00421136">
              <w:rPr>
                <w:rFonts w:ascii="Arial" w:hAnsi="Arial" w:cs="Arial"/>
                <w:bCs/>
                <w:sz w:val="22"/>
                <w:szCs w:val="22"/>
              </w:rPr>
              <w:t xml:space="preserve"> capacity​.</w:t>
            </w:r>
          </w:p>
          <w:p w14:paraId="27D90AB6" w14:textId="77777777" w:rsidR="00050AA4" w:rsidRPr="00050AA4" w:rsidRDefault="00050AA4" w:rsidP="004211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DF1B9A" w14:textId="50A367FC" w:rsidR="00421136" w:rsidRPr="0045077B" w:rsidRDefault="00050AA4" w:rsidP="00421136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45077B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Spatial adaptive pathways 2</w:t>
            </w:r>
          </w:p>
          <w:p w14:paraId="65D10C36" w14:textId="77777777" w:rsidR="00050AA4" w:rsidRPr="0045077B" w:rsidRDefault="00050AA4" w:rsidP="00421136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pPr>
          </w:p>
          <w:p w14:paraId="54311E8A" w14:textId="040664AF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  <w:u w:val="single"/>
              </w:rPr>
              <w:t>Panellist 4</w:t>
            </w:r>
          </w:p>
          <w:p w14:paraId="7B6D7BAE" w14:textId="04512FD2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>Name: Rick Kool</w:t>
            </w:r>
          </w:p>
          <w:p w14:paraId="322EC377" w14:textId="62890D02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>Organisation: Technical University of Denmark and NIRAS</w:t>
            </w:r>
            <w:r w:rsidR="00D47925">
              <w:rPr>
                <w:rFonts w:ascii="Arial" w:hAnsi="Arial" w:cs="Arial"/>
                <w:b/>
                <w:sz w:val="22"/>
                <w:szCs w:val="22"/>
              </w:rPr>
              <w:t>, Denmark</w:t>
            </w:r>
          </w:p>
          <w:p w14:paraId="470D6C72" w14:textId="4210B1D2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3B04933" w14:textId="7C630F76" w:rsid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Rick has a background in coastal infrastructure planning and design, with a focus on adaptive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climate change adaptation. His work covers both academic projects and consultancy work,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particularly in coastal zone planning using dynamic adaptation and flood management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 xml:space="preserve">schemes, often with an emphasis on </w:t>
            </w:r>
            <w:r w:rsidR="003C62C2" w:rsidRPr="009748DA">
              <w:rPr>
                <w:rFonts w:ascii="Arial" w:hAnsi="Arial" w:cs="Arial"/>
                <w:bCs/>
                <w:sz w:val="22"/>
                <w:szCs w:val="22"/>
              </w:rPr>
              <w:t>nature-based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 xml:space="preserve"> solutions.</w:t>
            </w:r>
          </w:p>
          <w:p w14:paraId="7F9F89DD" w14:textId="77777777" w:rsidR="00D47925" w:rsidRPr="009748DA" w:rsidRDefault="00D47925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B50B2E" w14:textId="3AC85F80" w:rsidR="009748DA" w:rsidRPr="00D47925" w:rsidRDefault="00D47925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925">
              <w:rPr>
                <w:rFonts w:ascii="Arial" w:hAnsi="Arial" w:cs="Arial"/>
                <w:b/>
                <w:sz w:val="22"/>
                <w:szCs w:val="22"/>
              </w:rPr>
              <w:t xml:space="preserve">Title: </w:t>
            </w:r>
            <w:r w:rsidR="009748DA" w:rsidRPr="00D47925">
              <w:rPr>
                <w:rFonts w:ascii="Arial" w:hAnsi="Arial" w:cs="Arial"/>
                <w:b/>
                <w:sz w:val="22"/>
                <w:szCs w:val="22"/>
              </w:rPr>
              <w:t>Spatial DAPP enhancements in practice</w:t>
            </w:r>
            <w:r>
              <w:rPr>
                <w:rFonts w:ascii="Arial" w:hAnsi="Arial" w:cs="Arial"/>
                <w:b/>
                <w:sz w:val="22"/>
                <w:szCs w:val="22"/>
              </w:rPr>
              <w:t>: Lessons learned</w:t>
            </w:r>
            <w:r w:rsidR="009748DA" w:rsidRPr="00D4792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CAA6B50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AB72D" w14:textId="358AACDB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 xml:space="preserve">Contribution: </w:t>
            </w:r>
          </w:p>
          <w:p w14:paraId="44D246E3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3ED30520" w14:textId="29230ADF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This presentation explores the development of spatially applied adaptation pathways for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Petone area in New Zealand in response increasing flood risk. The study shows how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incorporating spatially explicit thresholds can enhance decision-timing within the DAPP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approach in a multi-hazard environment.</w:t>
            </w:r>
          </w:p>
          <w:p w14:paraId="40787F4E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6E1D3A67" w14:textId="78E5174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The objective is to disseminate the results and lessons learned from the Petone case in New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Zealand, and discuss its implications for the development and implementation of adaptation</w:t>
            </w:r>
          </w:p>
          <w:p w14:paraId="72567BD9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pathways.</w:t>
            </w:r>
          </w:p>
          <w:p w14:paraId="7ADA2C8A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lastRenderedPageBreak/>
              <w:t>Methodology</w:t>
            </w:r>
          </w:p>
          <w:p w14:paraId="1EEB9BF4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The study applies the DAPP method considering decision narratives in three connected</w:t>
            </w:r>
          </w:p>
          <w:p w14:paraId="4FCA8FD2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 xml:space="preserve">coastal archetypes, evaluating the timing of decision triggers through a </w:t>
            </w:r>
            <w:proofErr w:type="gramStart"/>
            <w:r w:rsidRPr="009748DA">
              <w:rPr>
                <w:rFonts w:ascii="Arial" w:hAnsi="Arial" w:cs="Arial"/>
                <w:bCs/>
                <w:sz w:val="22"/>
                <w:szCs w:val="22"/>
              </w:rPr>
              <w:t>spatially-explicit</w:t>
            </w:r>
            <w:proofErr w:type="gramEnd"/>
          </w:p>
          <w:p w14:paraId="40ADC244" w14:textId="1E6717B3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understanding of thresholds. Interventions, such as nature-based solutions, were included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depending on the decision narrative to extend service time in adjacent areas creating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interdependencies between pathways depending on decisions taken over time.</w:t>
            </w:r>
          </w:p>
          <w:p w14:paraId="650277F4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2AC0AFE5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By evaluating spatially explicit pathways within each archetype, we identify adaptation</w:t>
            </w:r>
          </w:p>
          <w:p w14:paraId="3D28BF61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options with long lead times, such as managed retreat, and pinpoint timing conflicts and</w:t>
            </w:r>
          </w:p>
          <w:p w14:paraId="6C255E83" w14:textId="09536939" w:rsidR="00BF74DF" w:rsidRDefault="009748DA" w:rsidP="009748D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Cs/>
                <w:sz w:val="22"/>
                <w:szCs w:val="22"/>
              </w:rPr>
              <w:t>dependencies tied to development choices. Maintaining flexibility requires identifying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right time to implement certain actions based on evolving scenarios and past decisions 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avoid lock-in effects. The spatiotemporal staging of adaptation responses using the spatially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explicit DAPP helps decision makers keep their options open while transitioning towards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48DA">
              <w:rPr>
                <w:rFonts w:ascii="Arial" w:hAnsi="Arial" w:cs="Arial"/>
                <w:bCs/>
                <w:sz w:val="22"/>
                <w:szCs w:val="22"/>
              </w:rPr>
              <w:t>different adaptation options in response to declining service levels.</w:t>
            </w:r>
          </w:p>
          <w:p w14:paraId="660FBEC9" w14:textId="77777777" w:rsidR="0045077B" w:rsidRPr="0045077B" w:rsidRDefault="0045077B" w:rsidP="006D4A81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CA"/>
              </w:rPr>
            </w:pPr>
          </w:p>
          <w:p w14:paraId="41CA1FFB" w14:textId="601022B1" w:rsidR="006D4A81" w:rsidRDefault="0045077B" w:rsidP="006D4A81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CA"/>
              </w:rPr>
            </w:pPr>
            <w:r w:rsidRPr="0045077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CA"/>
              </w:rPr>
              <w:t>Opportunities</w:t>
            </w:r>
          </w:p>
          <w:p w14:paraId="2A7CBBA5" w14:textId="77777777" w:rsidR="00D47925" w:rsidRPr="0045077B" w:rsidRDefault="00D47925" w:rsidP="006D4A81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CA"/>
              </w:rPr>
            </w:pPr>
          </w:p>
          <w:p w14:paraId="0F44AA34" w14:textId="1716B1D5" w:rsidR="00BF74DF" w:rsidRPr="006D4A81" w:rsidRDefault="00BF74DF" w:rsidP="00BF74DF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D4A8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 w:rsidR="00EA05BB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</w:p>
          <w:p w14:paraId="5842411D" w14:textId="418887A9" w:rsidR="00BF74DF" w:rsidRDefault="00BF74DF" w:rsidP="00BF74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Name: Valeria </w:t>
            </w:r>
            <w:r w:rsidR="00EA05BB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i Fant</w:t>
            </w:r>
          </w:p>
          <w:p w14:paraId="00C8E688" w14:textId="12DAF957" w:rsidR="00BF74DF" w:rsidRDefault="00BF74DF" w:rsidP="00BF74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Organisation: Deltares</w:t>
            </w:r>
            <w:r w:rsidR="00D47925">
              <w:rPr>
                <w:rFonts w:ascii="Arial" w:hAnsi="Arial" w:cs="Arial"/>
                <w:b/>
                <w:sz w:val="22"/>
                <w:szCs w:val="22"/>
              </w:rPr>
              <w:t>, The Netherlands</w:t>
            </w:r>
          </w:p>
          <w:p w14:paraId="47A326F8" w14:textId="2DC935D6" w:rsidR="00EA05BB" w:rsidRPr="00EA05BB" w:rsidRDefault="00BF74DF" w:rsidP="00EA05B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A45538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05BB" w:rsidRPr="00EA05BB">
              <w:rPr>
                <w:rFonts w:ascii="Arial" w:hAnsi="Arial" w:cs="Arial"/>
                <w:bCs/>
                <w:sz w:val="22"/>
                <w:szCs w:val="22"/>
              </w:rPr>
              <w:t>Valeria is a PhD candidate at Utrecht University who has been working within the</w:t>
            </w:r>
          </w:p>
          <w:p w14:paraId="591AD827" w14:textId="77777777" w:rsidR="00EA05BB" w:rsidRPr="00EA05BB" w:rsidRDefault="00EA05BB" w:rsidP="00EA05B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A05BB">
              <w:rPr>
                <w:rFonts w:ascii="Arial" w:hAnsi="Arial" w:cs="Arial"/>
                <w:bCs/>
                <w:sz w:val="22"/>
                <w:szCs w:val="22"/>
              </w:rPr>
              <w:t>Pathways2Resilience Horizon2020 EU project. Her research concerns adaptation</w:t>
            </w:r>
          </w:p>
          <w:p w14:paraId="75E324C2" w14:textId="77777777" w:rsidR="00EA05BB" w:rsidRPr="00EA05BB" w:rsidRDefault="00EA05BB" w:rsidP="00EA05B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A05BB">
              <w:rPr>
                <w:rFonts w:ascii="Arial" w:hAnsi="Arial" w:cs="Arial"/>
                <w:bCs/>
                <w:sz w:val="22"/>
                <w:szCs w:val="22"/>
              </w:rPr>
              <w:t>pathways, and particularly the role of opportunities for climate adaptation for</w:t>
            </w:r>
          </w:p>
          <w:p w14:paraId="6D36AF71" w14:textId="77777777" w:rsidR="00EA05BB" w:rsidRDefault="00EA05BB" w:rsidP="00EA05B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A05BB">
              <w:rPr>
                <w:rFonts w:ascii="Arial" w:hAnsi="Arial" w:cs="Arial"/>
                <w:bCs/>
                <w:sz w:val="22"/>
                <w:szCs w:val="22"/>
              </w:rPr>
              <w:t>supporting transformative forms of adaptation.</w:t>
            </w:r>
          </w:p>
          <w:p w14:paraId="58EF28C4" w14:textId="77777777" w:rsidR="009711E7" w:rsidRDefault="009711E7" w:rsidP="00EA05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440ED" w14:textId="34B32DC2" w:rsidR="00EA05BB" w:rsidRDefault="00BF74DF" w:rsidP="00EA05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05BB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EA05B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EA05B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05BB" w:rsidRPr="00EA05BB">
              <w:rPr>
                <w:rFonts w:ascii="Arial" w:hAnsi="Arial" w:cs="Arial"/>
                <w:b/>
                <w:sz w:val="22"/>
                <w:szCs w:val="22"/>
              </w:rPr>
              <w:t>Leveraging adaptation opportunities through adaptive</w:t>
            </w:r>
            <w:r w:rsidR="00EA05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05BB" w:rsidRPr="00EA05BB">
              <w:rPr>
                <w:rFonts w:ascii="Arial" w:hAnsi="Arial" w:cs="Arial"/>
                <w:b/>
                <w:sz w:val="22"/>
                <w:szCs w:val="22"/>
              </w:rPr>
              <w:t>pathways planning</w:t>
            </w:r>
          </w:p>
          <w:p w14:paraId="2E527C3E" w14:textId="0FDD0C25" w:rsidR="00BF74DF" w:rsidRDefault="00BF74DF" w:rsidP="00EA05B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Contribution</w:t>
            </w:r>
            <w:r w:rsidRPr="00B026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F2F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E0CF249" w14:textId="634C36D1" w:rsidR="00EA05BB" w:rsidRPr="00EA05BB" w:rsidRDefault="00050AA4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050AA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Introduction: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EA05BB" w:rsidRPr="00EA05BB">
              <w:rPr>
                <w:rFonts w:ascii="Arial" w:hAnsi="Arial" w:cs="Arial"/>
                <w:sz w:val="22"/>
                <w:szCs w:val="22"/>
                <w:lang w:val="en-CA"/>
              </w:rPr>
              <w:t>Climate adaptation typically starts from the notion that new measures are needed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EA05BB" w:rsidRPr="00EA05BB">
              <w:rPr>
                <w:rFonts w:ascii="Arial" w:hAnsi="Arial" w:cs="Arial"/>
                <w:sz w:val="22"/>
                <w:szCs w:val="22"/>
                <w:lang w:val="en-CA"/>
              </w:rPr>
              <w:t>when climate risks become too high. Here, we explore the use of opportunities (i.e.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EA05BB" w:rsidRPr="00EA05BB">
              <w:rPr>
                <w:rFonts w:ascii="Arial" w:hAnsi="Arial" w:cs="Arial"/>
                <w:sz w:val="22"/>
                <w:szCs w:val="22"/>
                <w:lang w:val="en-CA"/>
              </w:rPr>
              <w:t>favourable conditions for new measures) as a reason to further adapt.</w:t>
            </w:r>
          </w:p>
          <w:p w14:paraId="31B7B3C3" w14:textId="77777777" w:rsidR="00EA05BB" w:rsidRPr="00050AA4" w:rsidRDefault="00EA05BB" w:rsidP="00EA05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050AA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Objectives</w:t>
            </w:r>
          </w:p>
          <w:p w14:paraId="6F780020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We present an updated conceptualization of adaptation opportunity windows of five</w:t>
            </w:r>
          </w:p>
          <w:p w14:paraId="69A9C5FB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different typologies and map examples of each typology throughout Europe in the</w:t>
            </w:r>
          </w:p>
          <w:p w14:paraId="6A7DD0D0" w14:textId="5916F014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past, present and future.</w:t>
            </w:r>
            <w:r w:rsidR="00050AA4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We propose to operationalize and leverage such windows of opportunities before they</w:t>
            </w:r>
            <w:r w:rsidR="00050AA4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close by positioning them within the adaptation pathways approach.</w:t>
            </w:r>
          </w:p>
          <w:p w14:paraId="77C0B432" w14:textId="77777777" w:rsidR="00EA05BB" w:rsidRPr="00050AA4" w:rsidRDefault="00EA05BB" w:rsidP="00EA05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050AA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Methodology</w:t>
            </w:r>
          </w:p>
          <w:p w14:paraId="36CDCCF0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Typologies of adaptation opportunities are identified based on literature. We then built</w:t>
            </w:r>
          </w:p>
          <w:p w14:paraId="103BE6E3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an evidence-based calibration dataset to illustrate characteristics of real-life</w:t>
            </w:r>
          </w:p>
          <w:p w14:paraId="651541D1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opportunity windows. The dataset is constructed from both qualitative and quantitative</w:t>
            </w:r>
          </w:p>
          <w:p w14:paraId="7B8AE755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 xml:space="preserve">sources, like the </w:t>
            </w:r>
            <w:proofErr w:type="spellStart"/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GranD</w:t>
            </w:r>
            <w:proofErr w:type="spellEnd"/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gramStart"/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dams</w:t>
            </w:r>
            <w:proofErr w:type="gramEnd"/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 xml:space="preserve"> database (Lehner et al., 2011), expert judgement, and</w:t>
            </w:r>
          </w:p>
          <w:p w14:paraId="1AD9A41D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desk studies.</w:t>
            </w:r>
          </w:p>
          <w:p w14:paraId="2A79A64E" w14:textId="77777777" w:rsidR="00EA05BB" w:rsidRPr="00050AA4" w:rsidRDefault="00EA05BB" w:rsidP="00EA05B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050AA4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Findings</w:t>
            </w:r>
          </w:p>
          <w:p w14:paraId="17EDD9E7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We find evidence of all windows of opportunity typologies across Europe. Windows of</w:t>
            </w:r>
          </w:p>
          <w:p w14:paraId="1ACD250C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opportunities identified relate to EU Directives, Conventions and/or Councils; to the</w:t>
            </w:r>
          </w:p>
          <w:p w14:paraId="4B1304B1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aftermath of extreme events and (near) disasters; to emerging innovative adaptation</w:t>
            </w:r>
          </w:p>
          <w:p w14:paraId="33A7D125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measures. To best leverage adaptation opportunities before their windows close, we</w:t>
            </w:r>
          </w:p>
          <w:p w14:paraId="480F3FEC" w14:textId="41530C7C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 xml:space="preserve">recommend </w:t>
            </w:r>
            <w:r w:rsidR="00050AA4">
              <w:rPr>
                <w:rFonts w:ascii="Arial" w:hAnsi="Arial" w:cs="Arial"/>
                <w:sz w:val="22"/>
                <w:szCs w:val="22"/>
                <w:lang w:val="en-CA"/>
              </w:rPr>
              <w:t>embedding</w:t>
            </w: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 xml:space="preserve"> adaptation opportunity windows within existing pathways</w:t>
            </w:r>
          </w:p>
          <w:p w14:paraId="0C142584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approaches. By constructing an adaptive plan, scanning potential opportunities and</w:t>
            </w:r>
          </w:p>
          <w:p w14:paraId="7BEFF830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their implications for given plans, adaptation actors will be in a better position to</w:t>
            </w:r>
          </w:p>
          <w:p w14:paraId="40115554" w14:textId="77777777" w:rsidR="00EA05BB" w:rsidRPr="00EA05BB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t>accelerate adaptation action and, when appropriate, open the way to more</w:t>
            </w:r>
          </w:p>
          <w:p w14:paraId="204E5804" w14:textId="74035626" w:rsidR="00A42886" w:rsidRDefault="00EA05BB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A05BB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transformational forms of adaptation.</w:t>
            </w:r>
          </w:p>
          <w:p w14:paraId="2EFB2CC2" w14:textId="77777777" w:rsidR="00050AA4" w:rsidRPr="00EA05BB" w:rsidRDefault="00050AA4" w:rsidP="00EA05BB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355B4662" w14:textId="68A06FDF" w:rsidR="00A42886" w:rsidRDefault="00A42886" w:rsidP="00A428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Panellist </w:t>
            </w:r>
            <w:r w:rsidR="00A45538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14:paraId="1A733011" w14:textId="2F155AA4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Name: Shari Gallop (Ngāti Maru, Te Rarawa) &amp;amp; Lisa Marquardt</w:t>
            </w:r>
          </w:p>
          <w:p w14:paraId="5007CE85" w14:textId="3D6666C9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Organisation: Pattle Delamore Partners Ltd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New Zealand</w:t>
            </w:r>
          </w:p>
          <w:p w14:paraId="568AB60E" w14:textId="6142FF45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Bio </w:t>
            </w:r>
          </w:p>
          <w:p w14:paraId="22772CF3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Shari is a coastal adaptation scientist supporting hapū/iwi in adaptation planning, and</w:t>
            </w:r>
          </w:p>
          <w:p w14:paraId="51043567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supporting clients to bring a holistic lens to projects that considers Māori values and</w:t>
            </w:r>
          </w:p>
          <w:p w14:paraId="29818311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processes. Lisa is a strategic thinker practiced in policy analysis, development,</w:t>
            </w:r>
          </w:p>
          <w:p w14:paraId="688DE410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environmental planning and provision of advice, focused on climate</w:t>
            </w:r>
          </w:p>
          <w:p w14:paraId="26731F31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adaptation/planning/risk management interface.</w:t>
            </w:r>
          </w:p>
          <w:p w14:paraId="389B30FD" w14:textId="77777777" w:rsidR="009711E7" w:rsidRDefault="009711E7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06B6D" w14:textId="1EC4B76F" w:rsid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Elements of complementary Indigenous pathway</w:t>
            </w:r>
            <w:r w:rsidR="00D4792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  <w:p w14:paraId="00EC17FD" w14:textId="77777777" w:rsidR="00D47925" w:rsidRPr="009748DA" w:rsidRDefault="00D47925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822E20" w14:textId="1AB057D7" w:rsidR="009711E7" w:rsidRDefault="009711E7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Contribution:</w:t>
            </w:r>
          </w:p>
          <w:p w14:paraId="3E5119DD" w14:textId="69FBD75E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Introduction</w:t>
            </w:r>
          </w:p>
          <w:p w14:paraId="485A0A34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Over the last ten years, New Zealand councils have increased their use of the DAPP</w:t>
            </w:r>
          </w:p>
          <w:p w14:paraId="414649BA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approach, however Māori involvement has varied significantly, from seemingly none,</w:t>
            </w:r>
          </w:p>
          <w:p w14:paraId="4087406F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to partnerships and co-governance arrangements. However, these partnerships are in</w:t>
            </w:r>
          </w:p>
          <w:p w14:paraId="1FBFB054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general not well developed for adaptation decision making.</w:t>
            </w:r>
          </w:p>
          <w:p w14:paraId="17DC3D5E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Objectives</w:t>
            </w:r>
          </w:p>
          <w:p w14:paraId="772AF11F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We share lessons on the untapped opportunities for the benefits of a Māori world view</w:t>
            </w:r>
          </w:p>
          <w:p w14:paraId="45713862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and mātauranga Māori and similar Indigenous worldviews elsewhere, to be woven into</w:t>
            </w:r>
          </w:p>
          <w:p w14:paraId="238CE6D6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the DAPP process, or to form a parallel process.</w:t>
            </w:r>
          </w:p>
          <w:p w14:paraId="6F807469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Methodology</w:t>
            </w:r>
          </w:p>
          <w:p w14:paraId="2DFEC3BA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We reviewed a decade of DAPP in New Zealand by councils and other organisations</w:t>
            </w:r>
          </w:p>
          <w:p w14:paraId="21A7797C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and here we focus on barriers and learnings focuses on weaving Indigenous world</w:t>
            </w:r>
          </w:p>
          <w:p w14:paraId="30EC4564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views.</w:t>
            </w:r>
          </w:p>
          <w:p w14:paraId="732EE1C5" w14:textId="77777777" w:rsidR="009748DA" w:rsidRPr="009748DA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>Findings</w:t>
            </w:r>
          </w:p>
          <w:p w14:paraId="6898379A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While Te Tiriti o Waitangi partnership and mātauranga Māori (Māori knowledge) have</w:t>
            </w:r>
          </w:p>
          <w:p w14:paraId="329A04A9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been considerations in some DAPP processes, Māori are typically participants in</w:t>
            </w:r>
          </w:p>
          <w:p w14:paraId="59B18895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processes led by researchers or councils, rather than directing or significantly</w:t>
            </w:r>
          </w:p>
          <w:p w14:paraId="0AD19705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influencing the process and tools used. Well established partnerships with mana</w:t>
            </w:r>
          </w:p>
          <w:p w14:paraId="259B5AF5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whenua enhance the outcomes of the DAPP process and enable local decision</w:t>
            </w:r>
          </w:p>
          <w:p w14:paraId="53FD2F10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making to take a long view more consistent with the nature of the changing climate</w:t>
            </w:r>
          </w:p>
          <w:p w14:paraId="33034C49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risks and adaptive planning. Understanding the broader customary system that</w:t>
            </w:r>
          </w:p>
          <w:p w14:paraId="20924D56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houses Māori values is critical for enhancing adaptation and anchoring decisions in</w:t>
            </w:r>
          </w:p>
          <w:p w14:paraId="27AD944A" w14:textId="77777777" w:rsidR="009748DA" w:rsidRPr="009748DA" w:rsidRDefault="009748DA" w:rsidP="009748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complex systems and embedding intergenerational thinking. Partnerships with mana</w:t>
            </w:r>
          </w:p>
          <w:p w14:paraId="6D604084" w14:textId="0CB42196" w:rsidR="00A42886" w:rsidRDefault="009748DA" w:rsidP="009748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8DA">
              <w:rPr>
                <w:rFonts w:ascii="Arial" w:hAnsi="Arial" w:cs="Arial"/>
                <w:sz w:val="22"/>
                <w:szCs w:val="22"/>
              </w:rPr>
              <w:t>whenua in climate adaptation are critical to upholding Te Tiriti.</w:t>
            </w:r>
            <w:r w:rsidRPr="00974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11ED515" w14:textId="40CD9938" w:rsidR="004828A0" w:rsidRPr="00D47925" w:rsidRDefault="004828A0" w:rsidP="00D479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F20"/>
    <w:multiLevelType w:val="multilevel"/>
    <w:tmpl w:val="AAF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7EBC"/>
    <w:multiLevelType w:val="hybridMultilevel"/>
    <w:tmpl w:val="ABCADF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1E8C"/>
    <w:multiLevelType w:val="hybridMultilevel"/>
    <w:tmpl w:val="43FC6C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E7E"/>
    <w:multiLevelType w:val="hybridMultilevel"/>
    <w:tmpl w:val="7452E94E"/>
    <w:lvl w:ilvl="0" w:tplc="4A6A1BB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B0BCC"/>
    <w:multiLevelType w:val="hybridMultilevel"/>
    <w:tmpl w:val="2956464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86E9E"/>
    <w:multiLevelType w:val="hybridMultilevel"/>
    <w:tmpl w:val="056A1CBA"/>
    <w:lvl w:ilvl="0" w:tplc="1F1CE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4"/>
  </w:num>
  <w:num w:numId="2" w16cid:durableId="1027095654">
    <w:abstractNumId w:val="8"/>
  </w:num>
  <w:num w:numId="3" w16cid:durableId="1208686634">
    <w:abstractNumId w:val="6"/>
  </w:num>
  <w:num w:numId="4" w16cid:durableId="1179194463">
    <w:abstractNumId w:val="5"/>
  </w:num>
  <w:num w:numId="5" w16cid:durableId="174731260">
    <w:abstractNumId w:val="7"/>
  </w:num>
  <w:num w:numId="6" w16cid:durableId="554313003">
    <w:abstractNumId w:val="0"/>
  </w:num>
  <w:num w:numId="7" w16cid:durableId="1565601801">
    <w:abstractNumId w:val="1"/>
  </w:num>
  <w:num w:numId="8" w16cid:durableId="817461159">
    <w:abstractNumId w:val="3"/>
  </w:num>
  <w:num w:numId="9" w16cid:durableId="97780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214B7"/>
    <w:rsid w:val="0003248B"/>
    <w:rsid w:val="000454E9"/>
    <w:rsid w:val="00050AA4"/>
    <w:rsid w:val="00105E39"/>
    <w:rsid w:val="00143797"/>
    <w:rsid w:val="00155315"/>
    <w:rsid w:val="00156DC4"/>
    <w:rsid w:val="001756AE"/>
    <w:rsid w:val="001776A0"/>
    <w:rsid w:val="00197889"/>
    <w:rsid w:val="00247C60"/>
    <w:rsid w:val="00256963"/>
    <w:rsid w:val="00275544"/>
    <w:rsid w:val="002A794E"/>
    <w:rsid w:val="002D0A81"/>
    <w:rsid w:val="002E3AA3"/>
    <w:rsid w:val="00317356"/>
    <w:rsid w:val="00341D66"/>
    <w:rsid w:val="0034503D"/>
    <w:rsid w:val="00354C31"/>
    <w:rsid w:val="00367A3E"/>
    <w:rsid w:val="00386D01"/>
    <w:rsid w:val="003C62C2"/>
    <w:rsid w:val="004049E7"/>
    <w:rsid w:val="00421136"/>
    <w:rsid w:val="00427DD9"/>
    <w:rsid w:val="0045077B"/>
    <w:rsid w:val="00462B90"/>
    <w:rsid w:val="004828A0"/>
    <w:rsid w:val="004B69C7"/>
    <w:rsid w:val="004F4CE8"/>
    <w:rsid w:val="004F5C81"/>
    <w:rsid w:val="005271E4"/>
    <w:rsid w:val="00531550"/>
    <w:rsid w:val="0053222C"/>
    <w:rsid w:val="005469BD"/>
    <w:rsid w:val="00550B17"/>
    <w:rsid w:val="00554CA9"/>
    <w:rsid w:val="005847C8"/>
    <w:rsid w:val="005854B8"/>
    <w:rsid w:val="0065012F"/>
    <w:rsid w:val="006567EF"/>
    <w:rsid w:val="00670B0C"/>
    <w:rsid w:val="0068043B"/>
    <w:rsid w:val="00681CA7"/>
    <w:rsid w:val="006D4A81"/>
    <w:rsid w:val="006D6639"/>
    <w:rsid w:val="0071126A"/>
    <w:rsid w:val="00714381"/>
    <w:rsid w:val="00787E7E"/>
    <w:rsid w:val="007C2ABE"/>
    <w:rsid w:val="007C5213"/>
    <w:rsid w:val="008235E8"/>
    <w:rsid w:val="008773DF"/>
    <w:rsid w:val="00881FA5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711E7"/>
    <w:rsid w:val="009748DA"/>
    <w:rsid w:val="0098494A"/>
    <w:rsid w:val="009C374A"/>
    <w:rsid w:val="009F4D72"/>
    <w:rsid w:val="009F4EA0"/>
    <w:rsid w:val="00A25782"/>
    <w:rsid w:val="00A42886"/>
    <w:rsid w:val="00A45538"/>
    <w:rsid w:val="00A4697B"/>
    <w:rsid w:val="00A66A36"/>
    <w:rsid w:val="00A963F1"/>
    <w:rsid w:val="00AB6BC3"/>
    <w:rsid w:val="00AE0E4B"/>
    <w:rsid w:val="00B026E8"/>
    <w:rsid w:val="00B07FF4"/>
    <w:rsid w:val="00B74584"/>
    <w:rsid w:val="00B76030"/>
    <w:rsid w:val="00B94D66"/>
    <w:rsid w:val="00BA0872"/>
    <w:rsid w:val="00BA26BB"/>
    <w:rsid w:val="00BB2D1F"/>
    <w:rsid w:val="00BC165F"/>
    <w:rsid w:val="00BC6810"/>
    <w:rsid w:val="00BE0B4D"/>
    <w:rsid w:val="00BE5A89"/>
    <w:rsid w:val="00BE6DA2"/>
    <w:rsid w:val="00BF74DF"/>
    <w:rsid w:val="00C26081"/>
    <w:rsid w:val="00C4126D"/>
    <w:rsid w:val="00C52B74"/>
    <w:rsid w:val="00C76C99"/>
    <w:rsid w:val="00C8423A"/>
    <w:rsid w:val="00CE53FE"/>
    <w:rsid w:val="00D26696"/>
    <w:rsid w:val="00D41538"/>
    <w:rsid w:val="00D44757"/>
    <w:rsid w:val="00D47925"/>
    <w:rsid w:val="00D716AD"/>
    <w:rsid w:val="00DB7929"/>
    <w:rsid w:val="00DC4DD6"/>
    <w:rsid w:val="00DD1BB3"/>
    <w:rsid w:val="00DF40E1"/>
    <w:rsid w:val="00E51F40"/>
    <w:rsid w:val="00E60AB6"/>
    <w:rsid w:val="00E612FF"/>
    <w:rsid w:val="00E8654B"/>
    <w:rsid w:val="00E9389C"/>
    <w:rsid w:val="00EA05BB"/>
    <w:rsid w:val="00EB1B31"/>
    <w:rsid w:val="00EB2000"/>
    <w:rsid w:val="00EE348A"/>
    <w:rsid w:val="00EF3B16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3A503-A789-4044-86AF-D7A26BE42342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2403</Words>
  <Characters>13703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5</cp:revision>
  <dcterms:created xsi:type="dcterms:W3CDTF">2025-03-07T07:31:00Z</dcterms:created>
  <dcterms:modified xsi:type="dcterms:W3CDTF">2025-08-11T19:40:00Z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